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01EADAE8" w:rsidR="00904D6D" w:rsidRPr="00F4376B" w:rsidRDefault="006C0939" w:rsidP="00956EB6">
      <w:pPr>
        <w:pStyle w:val="Title"/>
        <w:rPr>
          <w:sz w:val="32"/>
          <w:szCs w:val="32"/>
        </w:rPr>
      </w:pPr>
      <w:proofErr w:type="spellStart"/>
      <w:r w:rsidRPr="006C0939">
        <w:rPr>
          <w:sz w:val="32"/>
          <w:szCs w:val="32"/>
          <w:lang w:val="en-ID"/>
        </w:rPr>
        <w:t>Judul</w:t>
      </w:r>
      <w:proofErr w:type="spellEnd"/>
      <w:r w:rsidRPr="006C0939">
        <w:rPr>
          <w:sz w:val="32"/>
          <w:szCs w:val="32"/>
          <w:lang w:val="en-ID"/>
        </w:rPr>
        <w:t xml:space="preserve">. Harus </w:t>
      </w:r>
      <w:proofErr w:type="spellStart"/>
      <w:r w:rsidRPr="006C0939">
        <w:rPr>
          <w:sz w:val="32"/>
          <w:szCs w:val="32"/>
          <w:lang w:val="en-ID"/>
        </w:rPr>
        <w:t>spesifik</w:t>
      </w:r>
      <w:proofErr w:type="spellEnd"/>
      <w:r w:rsidRPr="006C0939">
        <w:rPr>
          <w:sz w:val="32"/>
          <w:szCs w:val="32"/>
          <w:lang w:val="en-ID"/>
        </w:rPr>
        <w:t xml:space="preserve">, </w:t>
      </w:r>
      <w:proofErr w:type="spellStart"/>
      <w:r w:rsidRPr="006C0939">
        <w:rPr>
          <w:sz w:val="32"/>
          <w:szCs w:val="32"/>
          <w:lang w:val="en-ID"/>
        </w:rPr>
        <w:t>efektif</w:t>
      </w:r>
      <w:proofErr w:type="spellEnd"/>
      <w:r w:rsidRPr="006C0939">
        <w:rPr>
          <w:sz w:val="32"/>
          <w:szCs w:val="32"/>
          <w:lang w:val="en-ID"/>
        </w:rPr>
        <w:t xml:space="preserve"> dan </w:t>
      </w:r>
      <w:proofErr w:type="spellStart"/>
      <w:r w:rsidRPr="006C0939">
        <w:rPr>
          <w:sz w:val="32"/>
          <w:szCs w:val="32"/>
          <w:lang w:val="en-ID"/>
        </w:rPr>
        <w:t>informatif</w:t>
      </w:r>
      <w:proofErr w:type="spellEnd"/>
      <w:r w:rsidRPr="006C0939">
        <w:rPr>
          <w:sz w:val="32"/>
          <w:szCs w:val="32"/>
          <w:lang w:val="en-ID"/>
        </w:rPr>
        <w:t xml:space="preserve">. </w:t>
      </w:r>
      <w:proofErr w:type="spellStart"/>
      <w:r w:rsidRPr="006C0939">
        <w:rPr>
          <w:sz w:val="32"/>
          <w:szCs w:val="32"/>
          <w:lang w:val="en-ID"/>
        </w:rPr>
        <w:t>Tidak</w:t>
      </w:r>
      <w:proofErr w:type="spellEnd"/>
      <w:r w:rsidRPr="006C0939">
        <w:rPr>
          <w:sz w:val="32"/>
          <w:szCs w:val="32"/>
          <w:lang w:val="en-ID"/>
        </w:rPr>
        <w:t xml:space="preserve"> </w:t>
      </w:r>
      <w:proofErr w:type="spellStart"/>
      <w:r w:rsidRPr="006C0939">
        <w:rPr>
          <w:sz w:val="32"/>
          <w:szCs w:val="32"/>
          <w:lang w:val="en-ID"/>
        </w:rPr>
        <w:t>lebih</w:t>
      </w:r>
      <w:proofErr w:type="spellEnd"/>
      <w:r w:rsidRPr="006C0939">
        <w:rPr>
          <w:sz w:val="32"/>
          <w:szCs w:val="32"/>
          <w:lang w:val="en-ID"/>
        </w:rPr>
        <w:t xml:space="preserve"> Dari </w:t>
      </w:r>
      <w:r>
        <w:rPr>
          <w:sz w:val="32"/>
          <w:szCs w:val="32"/>
          <w:lang w:val="en-ID"/>
        </w:rPr>
        <w:t>20</w:t>
      </w:r>
      <w:r w:rsidRPr="006C0939">
        <w:rPr>
          <w:sz w:val="32"/>
          <w:szCs w:val="32"/>
          <w:lang w:val="en-ID"/>
        </w:rPr>
        <w:t xml:space="preserve"> Kata </w:t>
      </w:r>
      <w:proofErr w:type="spellStart"/>
      <w:r w:rsidRPr="006C0939">
        <w:rPr>
          <w:sz w:val="32"/>
          <w:szCs w:val="32"/>
          <w:lang w:val="en-ID"/>
        </w:rPr>
        <w:t>Dalam</w:t>
      </w:r>
      <w:proofErr w:type="spellEnd"/>
      <w:r w:rsidRPr="006C0939">
        <w:rPr>
          <w:sz w:val="32"/>
          <w:szCs w:val="32"/>
          <w:lang w:val="en-ID"/>
        </w:rPr>
        <w:t xml:space="preserve"> Bahasa Indonesia</w:t>
      </w:r>
      <w:r w:rsidRPr="006C0939">
        <w:rPr>
          <w:sz w:val="32"/>
          <w:szCs w:val="32"/>
          <w:lang w:val="en-ID"/>
        </w:rPr>
        <w:t xml:space="preserve"> </w:t>
      </w:r>
      <w:r w:rsidR="00904D6D" w:rsidRPr="00F4376B">
        <w:rPr>
          <w:sz w:val="32"/>
          <w:szCs w:val="32"/>
        </w:rPr>
        <w:t>(</w:t>
      </w:r>
      <w:r>
        <w:rPr>
          <w:sz w:val="32"/>
          <w:szCs w:val="32"/>
          <w:lang w:val="en-US"/>
        </w:rPr>
        <w:t xml:space="preserve">TNR, </w:t>
      </w:r>
      <w:r w:rsidR="00904D6D" w:rsidRPr="00F4376B">
        <w:rPr>
          <w:sz w:val="32"/>
          <w:szCs w:val="32"/>
        </w:rPr>
        <w:t>Center, Bold, 16</w:t>
      </w:r>
      <w:proofErr w:type="spellStart"/>
      <w:r w:rsidR="00F33C08" w:rsidRPr="00F4376B">
        <w:rPr>
          <w:sz w:val="32"/>
          <w:szCs w:val="32"/>
          <w:lang w:val="en-US"/>
        </w:rPr>
        <w:t>pt</w:t>
      </w:r>
      <w:proofErr w:type="spellEnd"/>
      <w:r w:rsidR="00904D6D" w:rsidRPr="00F4376B">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48E30862" w14:textId="201121C7" w:rsidR="00A114B0" w:rsidRPr="00A114B0" w:rsidRDefault="006C0939" w:rsidP="00A114B0">
      <w:pPr>
        <w:jc w:val="center"/>
        <w:rPr>
          <w:b/>
          <w:bCs/>
        </w:rPr>
      </w:pPr>
      <w:bookmarkStart w:id="0" w:name="_Hlk80000582"/>
      <w:proofErr w:type="spellStart"/>
      <w:r>
        <w:rPr>
          <w:b/>
          <w:bCs/>
        </w:rPr>
        <w:t>Penulis</w:t>
      </w:r>
      <w:proofErr w:type="spellEnd"/>
      <w:r>
        <w:rPr>
          <w:b/>
          <w:bCs/>
        </w:rPr>
        <w:t xml:space="preserve"> 1</w:t>
      </w:r>
      <w:r w:rsidR="00A114B0" w:rsidRPr="00A114B0">
        <w:rPr>
          <w:b/>
          <w:bCs/>
          <w:vertAlign w:val="superscript"/>
        </w:rPr>
        <w:t>1</w:t>
      </w:r>
      <w:r w:rsidR="00A114B0" w:rsidRPr="00A114B0">
        <w:rPr>
          <w:b/>
          <w:bCs/>
          <w:lang w:val="id-ID"/>
        </w:rPr>
        <w:t xml:space="preserve">, </w:t>
      </w:r>
      <w:proofErr w:type="spellStart"/>
      <w:r>
        <w:rPr>
          <w:b/>
          <w:bCs/>
        </w:rPr>
        <w:t>Penulis</w:t>
      </w:r>
      <w:proofErr w:type="spellEnd"/>
      <w:r>
        <w:rPr>
          <w:b/>
          <w:bCs/>
        </w:rPr>
        <w:t xml:space="preserve"> 2</w:t>
      </w:r>
      <w:r w:rsidR="003E4A91">
        <w:rPr>
          <w:b/>
          <w:bCs/>
          <w:vertAlign w:val="superscript"/>
        </w:rPr>
        <w:t>2</w:t>
      </w:r>
      <w:r w:rsidR="003E4A91">
        <w:rPr>
          <w:b/>
          <w:bCs/>
        </w:rPr>
        <w:t>,</w:t>
      </w:r>
      <w:r w:rsidR="003E4A91" w:rsidRPr="003E4A91">
        <w:t xml:space="preserve"> </w:t>
      </w:r>
      <w:proofErr w:type="spellStart"/>
      <w:r>
        <w:rPr>
          <w:b/>
          <w:bCs/>
        </w:rPr>
        <w:t>Penulis</w:t>
      </w:r>
      <w:proofErr w:type="spellEnd"/>
      <w:r>
        <w:rPr>
          <w:b/>
          <w:bCs/>
        </w:rPr>
        <w:t xml:space="preserve"> 3</w:t>
      </w:r>
      <w:r w:rsidR="003E4A91">
        <w:rPr>
          <w:b/>
          <w:bCs/>
          <w:vertAlign w:val="superscript"/>
        </w:rPr>
        <w:t>3,4</w:t>
      </w:r>
      <w:r w:rsidR="00A114B0" w:rsidRPr="00A114B0">
        <w:rPr>
          <w:b/>
          <w:bCs/>
        </w:rPr>
        <w:t xml:space="preserve"> (</w:t>
      </w:r>
      <w:r>
        <w:rPr>
          <w:b/>
          <w:bCs/>
        </w:rPr>
        <w:t xml:space="preserve">TNR, Bold, Center, </w:t>
      </w:r>
      <w:r w:rsidR="00A114B0" w:rsidRPr="00A114B0">
        <w:rPr>
          <w:b/>
          <w:bCs/>
        </w:rPr>
        <w:t xml:space="preserve">10 </w:t>
      </w:r>
      <w:proofErr w:type="spellStart"/>
      <w:r w:rsidR="00A114B0" w:rsidRPr="00A114B0">
        <w:rPr>
          <w:b/>
          <w:bCs/>
        </w:rPr>
        <w:t>pt</w:t>
      </w:r>
      <w:proofErr w:type="spellEnd"/>
      <w:r w:rsidR="00A114B0" w:rsidRPr="00A114B0">
        <w:rPr>
          <w:b/>
          <w:bCs/>
        </w:rPr>
        <w:t>)</w:t>
      </w:r>
    </w:p>
    <w:p w14:paraId="48C58329" w14:textId="6B2EDB88" w:rsidR="00A114B0" w:rsidRDefault="00756D5A" w:rsidP="006C0939">
      <w:pPr>
        <w:jc w:val="center"/>
        <w:rPr>
          <w:sz w:val="16"/>
          <w:szCs w:val="16"/>
        </w:rPr>
      </w:pPr>
      <w:bookmarkStart w:id="1" w:name="_Hlk68515371"/>
      <w:r>
        <w:rPr>
          <w:sz w:val="16"/>
          <w:szCs w:val="16"/>
          <w:vertAlign w:val="superscript"/>
        </w:rPr>
        <w:t>1</w:t>
      </w:r>
      <w:r w:rsidR="006C0939">
        <w:rPr>
          <w:sz w:val="16"/>
          <w:szCs w:val="16"/>
        </w:rPr>
        <w:t xml:space="preserve">Afiliasi </w:t>
      </w:r>
      <w:proofErr w:type="spellStart"/>
      <w:r w:rsidR="006C0939">
        <w:rPr>
          <w:sz w:val="16"/>
          <w:szCs w:val="16"/>
        </w:rPr>
        <w:t>Penulis</w:t>
      </w:r>
      <w:proofErr w:type="spellEnd"/>
      <w:r w:rsidR="006C0939">
        <w:rPr>
          <w:sz w:val="16"/>
          <w:szCs w:val="16"/>
        </w:rPr>
        <w:t xml:space="preserve"> 1</w:t>
      </w:r>
      <w:r w:rsidR="00A114B0" w:rsidRPr="00A114B0">
        <w:rPr>
          <w:sz w:val="16"/>
          <w:szCs w:val="16"/>
        </w:rPr>
        <w:t>(</w:t>
      </w:r>
      <w:r w:rsidR="006C0939">
        <w:rPr>
          <w:sz w:val="16"/>
          <w:szCs w:val="16"/>
        </w:rPr>
        <w:t xml:space="preserve">TNR, </w:t>
      </w:r>
      <w:r w:rsidR="00A114B0" w:rsidRPr="00A114B0">
        <w:rPr>
          <w:sz w:val="16"/>
          <w:szCs w:val="16"/>
        </w:rPr>
        <w:t xml:space="preserve">8 </w:t>
      </w:r>
      <w:proofErr w:type="spellStart"/>
      <w:r w:rsidR="00A114B0" w:rsidRPr="00A114B0">
        <w:rPr>
          <w:sz w:val="16"/>
          <w:szCs w:val="16"/>
        </w:rPr>
        <w:t>pt</w:t>
      </w:r>
      <w:proofErr w:type="spellEnd"/>
      <w:r w:rsidR="00A114B0" w:rsidRPr="00A114B0">
        <w:rPr>
          <w:sz w:val="16"/>
          <w:szCs w:val="16"/>
        </w:rPr>
        <w:t>)</w:t>
      </w:r>
    </w:p>
    <w:p w14:paraId="7FEEC48E" w14:textId="44A64140" w:rsidR="006C0939" w:rsidRPr="00A114B0" w:rsidRDefault="006C0939" w:rsidP="006C0939">
      <w:pPr>
        <w:jc w:val="center"/>
        <w:rPr>
          <w:sz w:val="16"/>
          <w:szCs w:val="16"/>
        </w:rPr>
      </w:pPr>
      <w:r>
        <w:rPr>
          <w:sz w:val="16"/>
          <w:szCs w:val="16"/>
          <w:vertAlign w:val="superscript"/>
        </w:rPr>
        <w:t>2</w:t>
      </w:r>
      <w:r>
        <w:rPr>
          <w:sz w:val="16"/>
          <w:szCs w:val="16"/>
        </w:rPr>
        <w:t xml:space="preserve">Afiliasi </w:t>
      </w:r>
      <w:proofErr w:type="spellStart"/>
      <w:r>
        <w:rPr>
          <w:sz w:val="16"/>
          <w:szCs w:val="16"/>
        </w:rPr>
        <w:t>Penulis</w:t>
      </w:r>
      <w:proofErr w:type="spellEnd"/>
      <w:r>
        <w:rPr>
          <w:sz w:val="16"/>
          <w:szCs w:val="16"/>
        </w:rPr>
        <w:t xml:space="preserve"> 1</w:t>
      </w:r>
      <w:r w:rsidRPr="00A114B0">
        <w:rPr>
          <w:sz w:val="16"/>
          <w:szCs w:val="16"/>
        </w:rPr>
        <w:t>(</w:t>
      </w:r>
      <w:r>
        <w:rPr>
          <w:sz w:val="16"/>
          <w:szCs w:val="16"/>
        </w:rPr>
        <w:t xml:space="preserve">TNR, </w:t>
      </w:r>
      <w:r w:rsidRPr="00A114B0">
        <w:rPr>
          <w:sz w:val="16"/>
          <w:szCs w:val="16"/>
        </w:rPr>
        <w:t xml:space="preserve">8 </w:t>
      </w:r>
      <w:proofErr w:type="spellStart"/>
      <w:r w:rsidRPr="00A114B0">
        <w:rPr>
          <w:sz w:val="16"/>
          <w:szCs w:val="16"/>
        </w:rPr>
        <w:t>pt</w:t>
      </w:r>
      <w:proofErr w:type="spellEnd"/>
      <w:r w:rsidRPr="00A114B0">
        <w:rPr>
          <w:sz w:val="16"/>
          <w:szCs w:val="16"/>
        </w:rPr>
        <w:t>)</w:t>
      </w:r>
    </w:p>
    <w:p w14:paraId="01C82D13" w14:textId="0A94E4B4" w:rsidR="006C0939" w:rsidRPr="00A114B0" w:rsidRDefault="006C0939" w:rsidP="006C0939">
      <w:pPr>
        <w:jc w:val="center"/>
        <w:rPr>
          <w:sz w:val="16"/>
          <w:szCs w:val="16"/>
        </w:rPr>
      </w:pPr>
      <w:r>
        <w:rPr>
          <w:sz w:val="16"/>
          <w:szCs w:val="16"/>
          <w:vertAlign w:val="superscript"/>
        </w:rPr>
        <w:t>3</w:t>
      </w:r>
      <w:r>
        <w:rPr>
          <w:sz w:val="16"/>
          <w:szCs w:val="16"/>
        </w:rPr>
        <w:t xml:space="preserve">Afiliasi </w:t>
      </w:r>
      <w:proofErr w:type="spellStart"/>
      <w:r>
        <w:rPr>
          <w:sz w:val="16"/>
          <w:szCs w:val="16"/>
        </w:rPr>
        <w:t>Penulis</w:t>
      </w:r>
      <w:proofErr w:type="spellEnd"/>
      <w:r>
        <w:rPr>
          <w:sz w:val="16"/>
          <w:szCs w:val="16"/>
        </w:rPr>
        <w:t xml:space="preserve"> 1</w:t>
      </w:r>
      <w:r>
        <w:rPr>
          <w:sz w:val="16"/>
          <w:szCs w:val="16"/>
        </w:rPr>
        <w:t xml:space="preserve">TNR, </w:t>
      </w:r>
      <w:r w:rsidRPr="00A114B0">
        <w:rPr>
          <w:sz w:val="16"/>
          <w:szCs w:val="16"/>
        </w:rPr>
        <w:t xml:space="preserve">(8 </w:t>
      </w:r>
      <w:proofErr w:type="spellStart"/>
      <w:r w:rsidRPr="00A114B0">
        <w:rPr>
          <w:sz w:val="16"/>
          <w:szCs w:val="16"/>
        </w:rPr>
        <w:t>pt</w:t>
      </w:r>
      <w:proofErr w:type="spellEnd"/>
      <w:r w:rsidRPr="00A114B0">
        <w:rPr>
          <w:sz w:val="16"/>
          <w:szCs w:val="16"/>
        </w:rPr>
        <w:t>)</w:t>
      </w:r>
    </w:p>
    <w:bookmarkEnd w:id="0"/>
    <w:bookmarkEnd w:id="1"/>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8"/>
        <w:gridCol w:w="282"/>
        <w:gridCol w:w="5775"/>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39453227" w:rsidR="00941203" w:rsidRDefault="00941203" w:rsidP="00957C11">
            <w:pPr>
              <w:jc w:val="both"/>
            </w:pPr>
            <w:r w:rsidRPr="00957C11">
              <w:t>Received</w:t>
            </w:r>
            <w:r>
              <w:t xml:space="preserve"> </w:t>
            </w:r>
            <w:r w:rsidR="00A114B0" w:rsidRPr="00A114B0">
              <w:t>month</w:t>
            </w:r>
            <w:r w:rsidR="00523156" w:rsidRPr="00523156">
              <w:t xml:space="preserve"> dd, </w:t>
            </w:r>
            <w:proofErr w:type="spellStart"/>
            <w:r w:rsidR="00523156" w:rsidRPr="00523156">
              <w:t>yyyy</w:t>
            </w:r>
            <w:proofErr w:type="spellEnd"/>
          </w:p>
          <w:p w14:paraId="745B47E5" w14:textId="16AAA647" w:rsidR="00941203" w:rsidRDefault="00941203" w:rsidP="00957C11">
            <w:pPr>
              <w:jc w:val="both"/>
            </w:pPr>
            <w:r>
              <w:t xml:space="preserve">Revised </w:t>
            </w:r>
            <w:r w:rsidR="00A114B0" w:rsidRPr="00A114B0">
              <w:t>month</w:t>
            </w:r>
            <w:r w:rsidR="00523156" w:rsidRPr="00523156">
              <w:t xml:space="preserve"> dd, </w:t>
            </w:r>
            <w:proofErr w:type="spellStart"/>
            <w:r w:rsidR="00523156" w:rsidRPr="00523156">
              <w:t>yyyy</w:t>
            </w:r>
            <w:proofErr w:type="spellEnd"/>
          </w:p>
          <w:p w14:paraId="6CE20EAE" w14:textId="0DDAA4A9" w:rsidR="00941203" w:rsidRDefault="00941203" w:rsidP="00957C11">
            <w:pPr>
              <w:jc w:val="both"/>
            </w:pPr>
            <w:r>
              <w:t xml:space="preserve">Accepted </w:t>
            </w:r>
            <w:r w:rsidR="00A114B0" w:rsidRPr="00A114B0">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08169642" w:rsidR="00941203" w:rsidRPr="00957C11" w:rsidRDefault="003F6FEB"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0BBC6C84" w14:textId="77777777" w:rsidR="006C0939" w:rsidRDefault="006C0939" w:rsidP="001414E2">
            <w:pPr>
              <w:spacing w:before="120" w:after="120"/>
              <w:jc w:val="right"/>
              <w:rPr>
                <w:i/>
                <w:iCs/>
                <w:color w:val="000000"/>
                <w:sz w:val="18"/>
                <w:szCs w:val="18"/>
              </w:rPr>
            </w:pPr>
          </w:p>
          <w:p w14:paraId="50616318" w14:textId="77777777" w:rsidR="006C0939" w:rsidRPr="006C0939" w:rsidRDefault="006C0939" w:rsidP="006C0939">
            <w:pPr>
              <w:jc w:val="right"/>
              <w:rPr>
                <w:i/>
                <w:iCs/>
                <w:color w:val="000000"/>
                <w:sz w:val="16"/>
                <w:szCs w:val="16"/>
              </w:rPr>
            </w:pPr>
            <w:r w:rsidRPr="006C0939">
              <w:rPr>
                <w:i/>
                <w:iCs/>
                <w:color w:val="000000"/>
                <w:sz w:val="16"/>
                <w:szCs w:val="16"/>
              </w:rPr>
              <w:t>© Published Year,</w:t>
            </w:r>
          </w:p>
          <w:p w14:paraId="38E0A8D8" w14:textId="77777777" w:rsidR="006C0939" w:rsidRDefault="006C0939" w:rsidP="006C0939">
            <w:pPr>
              <w:jc w:val="right"/>
              <w:rPr>
                <w:i/>
                <w:iCs/>
                <w:color w:val="000000"/>
                <w:sz w:val="16"/>
                <w:szCs w:val="16"/>
              </w:rPr>
            </w:pPr>
            <w:proofErr w:type="spellStart"/>
            <w:r w:rsidRPr="006C0939">
              <w:rPr>
                <w:i/>
                <w:iCs/>
                <w:color w:val="000000"/>
                <w:sz w:val="16"/>
                <w:szCs w:val="16"/>
              </w:rPr>
              <w:t>Jurusan</w:t>
            </w:r>
            <w:proofErr w:type="spellEnd"/>
            <w:r w:rsidRPr="006C0939">
              <w:rPr>
                <w:i/>
                <w:iCs/>
                <w:color w:val="000000"/>
                <w:sz w:val="16"/>
                <w:szCs w:val="16"/>
              </w:rPr>
              <w:t xml:space="preserve"> </w:t>
            </w:r>
            <w:proofErr w:type="spellStart"/>
            <w:r w:rsidRPr="006C0939">
              <w:rPr>
                <w:i/>
                <w:iCs/>
                <w:color w:val="000000"/>
                <w:sz w:val="16"/>
                <w:szCs w:val="16"/>
              </w:rPr>
              <w:t>Akuntansi</w:t>
            </w:r>
            <w:proofErr w:type="spellEnd"/>
            <w:r w:rsidRPr="006C0939">
              <w:rPr>
                <w:i/>
                <w:iCs/>
                <w:color w:val="000000"/>
                <w:sz w:val="16"/>
                <w:szCs w:val="16"/>
              </w:rPr>
              <w:t xml:space="preserve"> </w:t>
            </w:r>
            <w:proofErr w:type="spellStart"/>
            <w:r w:rsidRPr="006C0939">
              <w:rPr>
                <w:i/>
                <w:iCs/>
                <w:color w:val="000000"/>
                <w:sz w:val="16"/>
                <w:szCs w:val="16"/>
              </w:rPr>
              <w:t>Fakultas</w:t>
            </w:r>
            <w:proofErr w:type="spellEnd"/>
            <w:r w:rsidRPr="006C0939">
              <w:rPr>
                <w:i/>
                <w:iCs/>
                <w:color w:val="000000"/>
                <w:sz w:val="16"/>
                <w:szCs w:val="16"/>
              </w:rPr>
              <w:t xml:space="preserve"> Ekonomi dan </w:t>
            </w:r>
            <w:proofErr w:type="spellStart"/>
            <w:r w:rsidRPr="006C0939">
              <w:rPr>
                <w:i/>
                <w:iCs/>
                <w:color w:val="000000"/>
                <w:sz w:val="16"/>
                <w:szCs w:val="16"/>
              </w:rPr>
              <w:t>Bisnis</w:t>
            </w:r>
            <w:proofErr w:type="spellEnd"/>
            <w:r w:rsidRPr="006C0939">
              <w:rPr>
                <w:i/>
                <w:iCs/>
                <w:color w:val="000000"/>
                <w:sz w:val="16"/>
                <w:szCs w:val="16"/>
              </w:rPr>
              <w:t xml:space="preserve"> Universitas </w:t>
            </w:r>
            <w:proofErr w:type="spellStart"/>
            <w:r w:rsidRPr="006C0939">
              <w:rPr>
                <w:i/>
                <w:iCs/>
                <w:color w:val="000000"/>
                <w:sz w:val="16"/>
                <w:szCs w:val="16"/>
              </w:rPr>
              <w:t>Palangka</w:t>
            </w:r>
            <w:proofErr w:type="spellEnd"/>
            <w:r w:rsidRPr="006C0939">
              <w:rPr>
                <w:i/>
                <w:iCs/>
                <w:color w:val="000000"/>
                <w:sz w:val="16"/>
                <w:szCs w:val="16"/>
              </w:rPr>
              <w:t xml:space="preserve"> Raya</w:t>
            </w:r>
          </w:p>
          <w:p w14:paraId="18D744D6" w14:textId="271DAF73" w:rsidR="00941203" w:rsidRPr="00941203" w:rsidRDefault="006C0939" w:rsidP="006C0939">
            <w:pPr>
              <w:jc w:val="right"/>
              <w:rPr>
                <w:i/>
                <w:iCs/>
                <w:color w:val="000000"/>
                <w:sz w:val="18"/>
                <w:szCs w:val="18"/>
              </w:rPr>
            </w:pPr>
            <w:r w:rsidRPr="006C0939">
              <w:rPr>
                <w:i/>
                <w:iCs/>
                <w:color w:val="000000"/>
                <w:sz w:val="16"/>
                <w:szCs w:val="16"/>
              </w:rPr>
              <w:t xml:space="preserve"> </w:t>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4278D6A2" w14:textId="77777777" w:rsidR="006C0939" w:rsidRDefault="006C0939" w:rsidP="006C0939">
            <w:r>
              <w:t xml:space="preserve">Hendrik </w:t>
            </w:r>
            <w:proofErr w:type="spellStart"/>
            <w:r>
              <w:t>Timang</w:t>
            </w:r>
            <w:proofErr w:type="spellEnd"/>
            <w:r w:rsidR="00756D5A">
              <w:br/>
            </w:r>
            <w:proofErr w:type="spellStart"/>
            <w:r>
              <w:t>Jurusan</w:t>
            </w:r>
            <w:proofErr w:type="spellEnd"/>
            <w:r>
              <w:t xml:space="preserve"> </w:t>
            </w:r>
            <w:proofErr w:type="spellStart"/>
            <w:r>
              <w:t>Akuntansi</w:t>
            </w:r>
            <w:proofErr w:type="spellEnd"/>
            <w:r>
              <w:t xml:space="preserve"> </w:t>
            </w:r>
            <w:proofErr w:type="spellStart"/>
            <w:r>
              <w:t>Fakultas</w:t>
            </w:r>
            <w:proofErr w:type="spellEnd"/>
            <w:r>
              <w:t xml:space="preserve"> Ekonomi dan </w:t>
            </w:r>
            <w:proofErr w:type="spellStart"/>
            <w:r>
              <w:t>Bisnis</w:t>
            </w:r>
            <w:proofErr w:type="spellEnd"/>
            <w:r>
              <w:t xml:space="preserve">, Universitas </w:t>
            </w:r>
            <w:proofErr w:type="spellStart"/>
            <w:r>
              <w:t>Palangka</w:t>
            </w:r>
            <w:proofErr w:type="spellEnd"/>
            <w:r>
              <w:t xml:space="preserve"> Raya</w:t>
            </w:r>
          </w:p>
          <w:p w14:paraId="1B9C3D44" w14:textId="53E71366" w:rsidR="006C0939" w:rsidRDefault="006C0939" w:rsidP="006C0939">
            <w:proofErr w:type="spellStart"/>
            <w:r>
              <w:t>Kampus</w:t>
            </w:r>
            <w:proofErr w:type="spellEnd"/>
            <w:r>
              <w:t xml:space="preserve"> UPR Jalan H. </w:t>
            </w:r>
            <w:proofErr w:type="spellStart"/>
            <w:r>
              <w:t>Timang</w:t>
            </w:r>
            <w:proofErr w:type="spellEnd"/>
            <w:r>
              <w:t xml:space="preserve"> </w:t>
            </w:r>
            <w:proofErr w:type="spellStart"/>
            <w:r>
              <w:t>Palangka</w:t>
            </w:r>
            <w:proofErr w:type="spellEnd"/>
            <w:r>
              <w:t xml:space="preserve"> Raya</w:t>
            </w:r>
          </w:p>
          <w:p w14:paraId="0F72A8F6" w14:textId="176F1599" w:rsidR="006C0939" w:rsidRDefault="006C0939" w:rsidP="006C0939">
            <w:r>
              <w:t>Kalimantan Tengah</w:t>
            </w:r>
          </w:p>
          <w:p w14:paraId="3C411EDF" w14:textId="3CC88CDB" w:rsidR="00941203" w:rsidRPr="00756D5A" w:rsidRDefault="006C0939" w:rsidP="006C0939">
            <w:r>
              <w:t>E-mail: balance_feunpar@yahoo.com</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5D97DF3B" w:rsidR="00904D6D" w:rsidRPr="00956EB6" w:rsidRDefault="00155A32" w:rsidP="00956EB6">
      <w:pPr>
        <w:numPr>
          <w:ilvl w:val="0"/>
          <w:numId w:val="15"/>
        </w:numPr>
        <w:tabs>
          <w:tab w:val="left" w:pos="426"/>
        </w:tabs>
        <w:ind w:left="426" w:hanging="426"/>
        <w:rPr>
          <w:b/>
          <w:bCs/>
          <w:lang w:val="id-ID"/>
        </w:rPr>
      </w:pPr>
      <w:r>
        <w:rPr>
          <w:b/>
          <w:bCs/>
        </w:rPr>
        <w:t>PENDAHULUAN</w:t>
      </w:r>
      <w:r w:rsidR="00F33C08">
        <w:rPr>
          <w:b/>
          <w:bCs/>
        </w:rPr>
        <w:t xml:space="preserve"> (10 PT)</w:t>
      </w:r>
    </w:p>
    <w:p w14:paraId="01B08C88" w14:textId="20AA4991" w:rsidR="00E619D6" w:rsidRPr="003D6B19" w:rsidRDefault="00155A32" w:rsidP="00155A32">
      <w:pPr>
        <w:ind w:firstLine="426"/>
        <w:jc w:val="both"/>
      </w:pPr>
      <w:r w:rsidRPr="00155A32">
        <w:rPr>
          <w:lang w:val="id-ID"/>
        </w:rPr>
        <w:t xml:space="preserve">Pendahuluan harus dapat menjelaskan rasionalitas penelitian, sehingga dapat dijustifikasi mengapa penelitian ini penting dibuat bagi bidang </w:t>
      </w:r>
      <w:proofErr w:type="spellStart"/>
      <w:r>
        <w:t>akuntansi</w:t>
      </w:r>
      <w:proofErr w:type="spellEnd"/>
      <w:r>
        <w:t xml:space="preserve"> pada </w:t>
      </w:r>
      <w:proofErr w:type="spellStart"/>
      <w:r>
        <w:t>khususnya</w:t>
      </w:r>
      <w:proofErr w:type="spellEnd"/>
      <w:r>
        <w:t xml:space="preserve"> dan </w:t>
      </w:r>
      <w:r w:rsidRPr="00155A32">
        <w:rPr>
          <w:lang w:val="id-ID"/>
        </w:rPr>
        <w:t>ekonomi</w:t>
      </w:r>
      <w:r>
        <w:t xml:space="preserve"> pada </w:t>
      </w:r>
      <w:proofErr w:type="spellStart"/>
      <w:r>
        <w:t>umumnya</w:t>
      </w:r>
      <w:proofErr w:type="spellEnd"/>
      <w:r w:rsidRPr="00155A32">
        <w:rPr>
          <w:lang w:val="id-ID"/>
        </w:rPr>
        <w:t xml:space="preserve"> (Reference et al., 2011). Bagian pendahuluan mencakup perumusan permasalahan penelitian, pertanyaan penelitian, serta manfaat penelitian. Artikel dibuat dalam halaman berukuran A4 dengan spasi 1.15. Marjin halaman mengikuti template artikel yang tersedia</w:t>
      </w:r>
    </w:p>
    <w:p w14:paraId="6D0BF8E6" w14:textId="77777777" w:rsidR="00E619D6" w:rsidRPr="003D6B19" w:rsidRDefault="00E619D6" w:rsidP="00E619D6">
      <w:pPr>
        <w:jc w:val="both"/>
      </w:pPr>
    </w:p>
    <w:p w14:paraId="7F5871EF" w14:textId="1F5A0925" w:rsidR="00E619D6" w:rsidRPr="00155A32" w:rsidRDefault="00155A32" w:rsidP="00E619D6">
      <w:pPr>
        <w:numPr>
          <w:ilvl w:val="0"/>
          <w:numId w:val="15"/>
        </w:numPr>
        <w:tabs>
          <w:tab w:val="left" w:pos="426"/>
        </w:tabs>
        <w:ind w:left="426" w:hanging="426"/>
        <w:rPr>
          <w:b/>
          <w:bCs/>
          <w:lang w:val="id-ID"/>
        </w:rPr>
      </w:pPr>
      <w:r>
        <w:rPr>
          <w:b/>
          <w:bCs/>
        </w:rPr>
        <w:t>KAJIAN PUSTAKA</w:t>
      </w:r>
      <w:r w:rsidR="00E619D6" w:rsidRPr="003D6B19">
        <w:rPr>
          <w:b/>
          <w:bCs/>
        </w:rPr>
        <w:t xml:space="preserve"> (10 PT)</w:t>
      </w:r>
    </w:p>
    <w:p w14:paraId="0567422E" w14:textId="6A96985C" w:rsidR="00155A32" w:rsidRPr="00155A32" w:rsidRDefault="00155A32" w:rsidP="00155A32">
      <w:pPr>
        <w:ind w:firstLine="426"/>
        <w:jc w:val="both"/>
        <w:rPr>
          <w:lang w:val="id-ID"/>
        </w:rPr>
      </w:pPr>
      <w:r w:rsidRPr="00155A32">
        <w:rPr>
          <w:lang w:val="id-ID"/>
        </w:rPr>
        <w:t xml:space="preserve">Bagian </w:t>
      </w:r>
      <w:proofErr w:type="spellStart"/>
      <w:r w:rsidRPr="00155A32">
        <w:rPr>
          <w:lang w:val="id-ID"/>
        </w:rPr>
        <w:t>ini</w:t>
      </w:r>
      <w:proofErr w:type="spellEnd"/>
      <w:r w:rsidRPr="00155A32">
        <w:rPr>
          <w:lang w:val="id-ID"/>
        </w:rPr>
        <w:t xml:space="preserve"> </w:t>
      </w:r>
      <w:proofErr w:type="spellStart"/>
      <w:r w:rsidRPr="00155A32">
        <w:rPr>
          <w:lang w:val="id-ID"/>
        </w:rPr>
        <w:t>membahas</w:t>
      </w:r>
      <w:proofErr w:type="spellEnd"/>
      <w:r w:rsidRPr="00155A32">
        <w:rPr>
          <w:lang w:val="id-ID"/>
        </w:rPr>
        <w:t xml:space="preserve"> </w:t>
      </w:r>
      <w:proofErr w:type="spellStart"/>
      <w:r w:rsidRPr="00155A32">
        <w:rPr>
          <w:lang w:val="id-ID"/>
        </w:rPr>
        <w:t>penelaahan</w:t>
      </w:r>
      <w:proofErr w:type="spellEnd"/>
      <w:r w:rsidRPr="00155A32">
        <w:rPr>
          <w:lang w:val="id-ID"/>
        </w:rPr>
        <w:t xml:space="preserve"> </w:t>
      </w:r>
      <w:proofErr w:type="spellStart"/>
      <w:r w:rsidRPr="00155A32">
        <w:rPr>
          <w:lang w:val="id-ID"/>
        </w:rPr>
        <w:t>atas</w:t>
      </w:r>
      <w:proofErr w:type="spellEnd"/>
      <w:r w:rsidRPr="00155A32">
        <w:rPr>
          <w:lang w:val="id-ID"/>
        </w:rPr>
        <w:t xml:space="preserve"> </w:t>
      </w:r>
      <w:proofErr w:type="spellStart"/>
      <w:r w:rsidRPr="00155A32">
        <w:rPr>
          <w:lang w:val="id-ID"/>
        </w:rPr>
        <w:t>jurnal</w:t>
      </w:r>
      <w:proofErr w:type="spellEnd"/>
      <w:r w:rsidRPr="00155A32">
        <w:rPr>
          <w:lang w:val="id-ID"/>
        </w:rPr>
        <w:t xml:space="preserve">, </w:t>
      </w:r>
      <w:proofErr w:type="spellStart"/>
      <w:r w:rsidRPr="00155A32">
        <w:rPr>
          <w:lang w:val="id-ID"/>
        </w:rPr>
        <w:t>artikel</w:t>
      </w:r>
      <w:proofErr w:type="spellEnd"/>
      <w:r w:rsidRPr="00155A32">
        <w:rPr>
          <w:lang w:val="id-ID"/>
        </w:rPr>
        <w:t xml:space="preserve">, </w:t>
      </w:r>
      <w:proofErr w:type="spellStart"/>
      <w:r w:rsidRPr="00155A32">
        <w:rPr>
          <w:lang w:val="id-ID"/>
        </w:rPr>
        <w:t>buku</w:t>
      </w:r>
      <w:proofErr w:type="spellEnd"/>
      <w:r w:rsidRPr="00155A32">
        <w:rPr>
          <w:lang w:val="id-ID"/>
        </w:rPr>
        <w:t xml:space="preserve"> dan </w:t>
      </w:r>
      <w:proofErr w:type="spellStart"/>
      <w:r w:rsidRPr="00155A32">
        <w:rPr>
          <w:lang w:val="id-ID"/>
        </w:rPr>
        <w:t>sumber</w:t>
      </w:r>
      <w:proofErr w:type="spellEnd"/>
      <w:r w:rsidRPr="00155A32">
        <w:rPr>
          <w:lang w:val="id-ID"/>
        </w:rPr>
        <w:t xml:space="preserve"> lain yang </w:t>
      </w:r>
      <w:proofErr w:type="spellStart"/>
      <w:r w:rsidRPr="00155A32">
        <w:rPr>
          <w:lang w:val="id-ID"/>
        </w:rPr>
        <w:t>relevan</w:t>
      </w:r>
      <w:proofErr w:type="spellEnd"/>
      <w:r w:rsidRPr="00155A32">
        <w:rPr>
          <w:lang w:val="id-ID"/>
        </w:rPr>
        <w:t xml:space="preserve">. Jika </w:t>
      </w:r>
      <w:proofErr w:type="spellStart"/>
      <w:r w:rsidRPr="00155A32">
        <w:rPr>
          <w:lang w:val="id-ID"/>
        </w:rPr>
        <w:t>diperlukan</w:t>
      </w:r>
      <w:proofErr w:type="spellEnd"/>
      <w:r w:rsidRPr="00155A32">
        <w:rPr>
          <w:lang w:val="id-ID"/>
        </w:rPr>
        <w:t xml:space="preserve">, </w:t>
      </w:r>
      <w:proofErr w:type="spellStart"/>
      <w:r w:rsidRPr="00155A32">
        <w:rPr>
          <w:lang w:val="id-ID"/>
        </w:rPr>
        <w:t>perumusan</w:t>
      </w:r>
      <w:proofErr w:type="spellEnd"/>
      <w:r w:rsidRPr="00155A32">
        <w:rPr>
          <w:lang w:val="id-ID"/>
        </w:rPr>
        <w:t xml:space="preserve"> </w:t>
      </w:r>
      <w:proofErr w:type="spellStart"/>
      <w:r w:rsidRPr="00155A32">
        <w:rPr>
          <w:lang w:val="id-ID"/>
        </w:rPr>
        <w:t>hipotesis</w:t>
      </w:r>
      <w:proofErr w:type="spellEnd"/>
      <w:r w:rsidRPr="00155A32">
        <w:rPr>
          <w:lang w:val="id-ID"/>
        </w:rPr>
        <w:t xml:space="preserve"> </w:t>
      </w:r>
      <w:proofErr w:type="spellStart"/>
      <w:r w:rsidRPr="00155A32">
        <w:rPr>
          <w:lang w:val="id-ID"/>
        </w:rPr>
        <w:t>disajikan</w:t>
      </w:r>
      <w:proofErr w:type="spellEnd"/>
      <w:r w:rsidRPr="00155A32">
        <w:rPr>
          <w:lang w:val="id-ID"/>
        </w:rPr>
        <w:t xml:space="preserve"> </w:t>
      </w:r>
      <w:proofErr w:type="spellStart"/>
      <w:r w:rsidRPr="00155A32">
        <w:rPr>
          <w:lang w:val="id-ID"/>
        </w:rPr>
        <w:t>dalam</w:t>
      </w:r>
      <w:proofErr w:type="spellEnd"/>
      <w:r w:rsidRPr="00155A32">
        <w:rPr>
          <w:lang w:val="id-ID"/>
        </w:rPr>
        <w:t xml:space="preserve"> </w:t>
      </w:r>
      <w:proofErr w:type="spellStart"/>
      <w:r w:rsidRPr="00155A32">
        <w:rPr>
          <w:lang w:val="id-ID"/>
        </w:rPr>
        <w:t>bagian</w:t>
      </w:r>
      <w:proofErr w:type="spellEnd"/>
      <w:r w:rsidRPr="00155A32">
        <w:rPr>
          <w:lang w:val="id-ID"/>
        </w:rPr>
        <w:t xml:space="preserve"> </w:t>
      </w:r>
      <w:proofErr w:type="spellStart"/>
      <w:r w:rsidRPr="00155A32">
        <w:rPr>
          <w:lang w:val="id-ID"/>
        </w:rPr>
        <w:t>ini</w:t>
      </w:r>
      <w:proofErr w:type="spellEnd"/>
      <w:r w:rsidRPr="00155A32">
        <w:rPr>
          <w:lang w:val="id-ID"/>
        </w:rPr>
        <w:t xml:space="preserve">. </w:t>
      </w:r>
      <w:proofErr w:type="spellStart"/>
      <w:r w:rsidRPr="00155A32">
        <w:rPr>
          <w:lang w:val="id-ID"/>
        </w:rPr>
        <w:t>Hipotesis</w:t>
      </w:r>
      <w:proofErr w:type="spellEnd"/>
      <w:r w:rsidRPr="00155A32">
        <w:rPr>
          <w:lang w:val="id-ID"/>
        </w:rPr>
        <w:t xml:space="preserve"> yang </w:t>
      </w:r>
      <w:proofErr w:type="spellStart"/>
      <w:r w:rsidRPr="00155A32">
        <w:rPr>
          <w:lang w:val="id-ID"/>
        </w:rPr>
        <w:t>dirumuskan</w:t>
      </w:r>
      <w:proofErr w:type="spellEnd"/>
      <w:r w:rsidRPr="00155A32">
        <w:rPr>
          <w:lang w:val="id-ID"/>
        </w:rPr>
        <w:t xml:space="preserve"> </w:t>
      </w:r>
      <w:proofErr w:type="spellStart"/>
      <w:r w:rsidRPr="00155A32">
        <w:rPr>
          <w:lang w:val="id-ID"/>
        </w:rPr>
        <w:t>harus</w:t>
      </w:r>
      <w:proofErr w:type="spellEnd"/>
      <w:r w:rsidRPr="00155A32">
        <w:rPr>
          <w:lang w:val="id-ID"/>
        </w:rPr>
        <w:t xml:space="preserve"> </w:t>
      </w:r>
      <w:proofErr w:type="spellStart"/>
      <w:r w:rsidRPr="00155A32">
        <w:rPr>
          <w:lang w:val="id-ID"/>
        </w:rPr>
        <w:t>didasari</w:t>
      </w:r>
      <w:proofErr w:type="spellEnd"/>
      <w:r w:rsidRPr="00155A32">
        <w:rPr>
          <w:lang w:val="id-ID"/>
        </w:rPr>
        <w:t xml:space="preserve"> oleh </w:t>
      </w:r>
      <w:proofErr w:type="spellStart"/>
      <w:r w:rsidRPr="00155A32">
        <w:rPr>
          <w:lang w:val="id-ID"/>
        </w:rPr>
        <w:t>logika</w:t>
      </w:r>
      <w:proofErr w:type="spellEnd"/>
      <w:r w:rsidRPr="00155A32">
        <w:rPr>
          <w:lang w:val="id-ID"/>
        </w:rPr>
        <w:t xml:space="preserve"> yang </w:t>
      </w:r>
      <w:proofErr w:type="spellStart"/>
      <w:r w:rsidRPr="00155A32">
        <w:rPr>
          <w:lang w:val="id-ID"/>
        </w:rPr>
        <w:t>memadai</w:t>
      </w:r>
      <w:proofErr w:type="spellEnd"/>
      <w:r w:rsidRPr="00155A32">
        <w:rPr>
          <w:lang w:val="id-ID"/>
        </w:rPr>
        <w:t xml:space="preserve"> dan </w:t>
      </w:r>
      <w:proofErr w:type="spellStart"/>
      <w:r w:rsidRPr="00155A32">
        <w:rPr>
          <w:lang w:val="id-ID"/>
        </w:rPr>
        <w:t>didukung</w:t>
      </w:r>
      <w:proofErr w:type="spellEnd"/>
      <w:r w:rsidRPr="00155A32">
        <w:rPr>
          <w:lang w:val="id-ID"/>
        </w:rPr>
        <w:t xml:space="preserve"> oleh </w:t>
      </w:r>
      <w:proofErr w:type="spellStart"/>
      <w:r w:rsidRPr="00155A32">
        <w:rPr>
          <w:lang w:val="id-ID"/>
        </w:rPr>
        <w:t>hasil</w:t>
      </w:r>
      <w:proofErr w:type="spellEnd"/>
      <w:r w:rsidRPr="00155A32">
        <w:rPr>
          <w:lang w:val="id-ID"/>
        </w:rPr>
        <w:t xml:space="preserve"> </w:t>
      </w:r>
      <w:proofErr w:type="spellStart"/>
      <w:r w:rsidRPr="00155A32">
        <w:rPr>
          <w:lang w:val="id-ID"/>
        </w:rPr>
        <w:t>penelitian</w:t>
      </w:r>
      <w:proofErr w:type="spellEnd"/>
      <w:r w:rsidRPr="00155A32">
        <w:rPr>
          <w:lang w:val="id-ID"/>
        </w:rPr>
        <w:t xml:space="preserve"> </w:t>
      </w:r>
      <w:proofErr w:type="spellStart"/>
      <w:r w:rsidRPr="00155A32">
        <w:rPr>
          <w:lang w:val="id-ID"/>
        </w:rPr>
        <w:t>terdahulu</w:t>
      </w:r>
      <w:proofErr w:type="spellEnd"/>
      <w:r w:rsidRPr="00155A32">
        <w:rPr>
          <w:lang w:val="id-ID"/>
        </w:rPr>
        <w:t xml:space="preserve">. Data, informasi, dan kutipan harus dalam rentang waktu </w:t>
      </w:r>
      <w:r>
        <w:t>5</w:t>
      </w:r>
      <w:r w:rsidRPr="00155A32">
        <w:rPr>
          <w:lang w:val="id-ID"/>
        </w:rPr>
        <w:t xml:space="preserve"> tahun terakhir. 80% kutipan yang ditulis di makalah harus bersumber dari sumber primer yang berasal dari naskah publikasi maupun penelitian baik nasional dan internasional. Semakin banyak referensi utama yang dimiliki dalam artikel tersebut, semakin berkual</w:t>
      </w:r>
      <w:proofErr w:type="spellStart"/>
      <w:r w:rsidRPr="00155A32">
        <w:rPr>
          <w:lang w:val="id-ID"/>
        </w:rPr>
        <w:t>itas</w:t>
      </w:r>
      <w:proofErr w:type="spellEnd"/>
      <w:r w:rsidRPr="00155A32">
        <w:rPr>
          <w:lang w:val="id-ID"/>
        </w:rPr>
        <w:t xml:space="preserve"> </w:t>
      </w:r>
      <w:proofErr w:type="spellStart"/>
      <w:r w:rsidRPr="00155A32">
        <w:rPr>
          <w:lang w:val="id-ID"/>
        </w:rPr>
        <w:t>artikel</w:t>
      </w:r>
      <w:proofErr w:type="spellEnd"/>
      <w:r w:rsidRPr="00155A32">
        <w:rPr>
          <w:lang w:val="id-ID"/>
        </w:rPr>
        <w:t xml:space="preserve"> </w:t>
      </w:r>
      <w:proofErr w:type="spellStart"/>
      <w:r w:rsidRPr="00155A32">
        <w:rPr>
          <w:lang w:val="id-ID"/>
        </w:rPr>
        <w:t>tersebut</w:t>
      </w:r>
      <w:proofErr w:type="spellEnd"/>
    </w:p>
    <w:p w14:paraId="0E5371B0" w14:textId="77777777" w:rsidR="00155A32" w:rsidRPr="00155A32" w:rsidRDefault="00155A32" w:rsidP="00155A32">
      <w:pPr>
        <w:ind w:firstLine="426"/>
        <w:jc w:val="both"/>
        <w:rPr>
          <w:lang w:val="id-ID"/>
        </w:rPr>
      </w:pPr>
    </w:p>
    <w:p w14:paraId="112BC08C" w14:textId="0D3E2C46" w:rsidR="00155A32" w:rsidRPr="003D6B19" w:rsidRDefault="00155A32" w:rsidP="00E619D6">
      <w:pPr>
        <w:numPr>
          <w:ilvl w:val="0"/>
          <w:numId w:val="15"/>
        </w:numPr>
        <w:tabs>
          <w:tab w:val="left" w:pos="426"/>
        </w:tabs>
        <w:ind w:left="426" w:hanging="426"/>
        <w:rPr>
          <w:b/>
          <w:bCs/>
          <w:lang w:val="id-ID"/>
        </w:rPr>
      </w:pPr>
      <w:r>
        <w:rPr>
          <w:b/>
          <w:bCs/>
        </w:rPr>
        <w:t>METODE PENELITIAN (10 PT)</w:t>
      </w:r>
    </w:p>
    <w:p w14:paraId="0DFAA47D" w14:textId="77777777" w:rsidR="006934F8" w:rsidRPr="006934F8" w:rsidRDefault="006934F8" w:rsidP="006934F8">
      <w:pPr>
        <w:ind w:firstLine="426"/>
        <w:jc w:val="both"/>
        <w:rPr>
          <w:lang w:val="id-ID"/>
        </w:rPr>
      </w:pPr>
      <w:bookmarkStart w:id="2" w:name="_Hlk78354310"/>
      <w:bookmarkStart w:id="3" w:name="_Hlk78354375"/>
      <w:r w:rsidRPr="006934F8">
        <w:rPr>
          <w:lang w:val="id-ID"/>
        </w:rPr>
        <w:t>Bagian ini menjelaskan secara eksplisit tentang bagaimana penelitian dilakukan. Bagian metode penelitian harus ditulis secara efektif, sehingga penulis dapat memperoleh gambaran yang lengkap dan jelas tentang data, alat dan tahapan yang dilakukan dalam rangka menjawab pertanyaan penelitian. Bagian ini juga menyediakan penjelasan mengenai metode pengukuran sehingga dapat memudahkan untuk direplikasi. Jika ada, model dapat dirumuskan sebagai berikut:</w:t>
      </w:r>
    </w:p>
    <w:p w14:paraId="6384FADE" w14:textId="77777777" w:rsidR="006934F8" w:rsidRPr="006934F8" w:rsidRDefault="006934F8" w:rsidP="006934F8">
      <w:pPr>
        <w:rPr>
          <w:lang w:val="id-ID"/>
        </w:rPr>
      </w:pPr>
      <w:r w:rsidRPr="006934F8">
        <w:rPr>
          <w:rFonts w:ascii="Cambria Math" w:eastAsia="Cambria Math" w:hAnsi="Cambria Math" w:cs="Cambria Math" w:hint="eastAsia"/>
          <w:lang w:val="id-ID"/>
        </w:rPr>
        <w:lastRenderedPageBreak/>
        <w:t>〖</w:t>
      </w:r>
      <w:r w:rsidRPr="006934F8">
        <w:rPr>
          <w:lang w:val="id-ID"/>
        </w:rPr>
        <w:t>PS</w:t>
      </w:r>
      <w:r w:rsidRPr="006934F8">
        <w:rPr>
          <w:rFonts w:ascii="Cambria Math" w:eastAsia="Cambria Math" w:hAnsi="Cambria Math" w:cs="Cambria Math" w:hint="eastAsia"/>
          <w:lang w:val="id-ID"/>
        </w:rPr>
        <w:t>〗</w:t>
      </w:r>
      <w:r w:rsidRPr="006934F8">
        <w:rPr>
          <w:lang w:val="id-ID"/>
        </w:rPr>
        <w:t xml:space="preserve">_i=β_0+β_1 </w:t>
      </w:r>
      <w:r w:rsidRPr="006934F8">
        <w:rPr>
          <w:rFonts w:ascii="Cambria Math" w:eastAsia="Cambria Math" w:hAnsi="Cambria Math" w:cs="Cambria Math" w:hint="eastAsia"/>
          <w:lang w:val="id-ID"/>
        </w:rPr>
        <w:t>〖</w:t>
      </w:r>
      <w:r w:rsidRPr="006934F8">
        <w:rPr>
          <w:lang w:val="id-ID"/>
        </w:rPr>
        <w:t>EO</w:t>
      </w:r>
      <w:r w:rsidRPr="006934F8">
        <w:rPr>
          <w:rFonts w:ascii="Cambria Math" w:eastAsia="Cambria Math" w:hAnsi="Cambria Math" w:cs="Cambria Math" w:hint="eastAsia"/>
          <w:lang w:val="id-ID"/>
        </w:rPr>
        <w:t>〗</w:t>
      </w:r>
      <w:r w:rsidRPr="006934F8">
        <w:rPr>
          <w:lang w:val="id-ID"/>
        </w:rPr>
        <w:t xml:space="preserve">_i+β_3 </w:t>
      </w:r>
      <w:r w:rsidRPr="006934F8">
        <w:rPr>
          <w:rFonts w:ascii="Cambria Math" w:eastAsia="Cambria Math" w:hAnsi="Cambria Math" w:cs="Cambria Math" w:hint="eastAsia"/>
          <w:lang w:val="id-ID"/>
        </w:rPr>
        <w:t>〖</w:t>
      </w:r>
      <w:r w:rsidRPr="006934F8">
        <w:rPr>
          <w:lang w:val="id-ID"/>
        </w:rPr>
        <w:t>SC</w:t>
      </w:r>
      <w:r w:rsidRPr="006934F8">
        <w:rPr>
          <w:rFonts w:ascii="Cambria Math" w:eastAsia="Cambria Math" w:hAnsi="Cambria Math" w:cs="Cambria Math" w:hint="eastAsia"/>
          <w:lang w:val="id-ID"/>
        </w:rPr>
        <w:t>〗</w:t>
      </w:r>
      <w:r w:rsidRPr="006934F8">
        <w:rPr>
          <w:lang w:val="id-ID"/>
        </w:rPr>
        <w:t xml:space="preserve">_i+ε_i </w:t>
      </w:r>
      <w:r w:rsidRPr="006934F8">
        <w:rPr>
          <w:lang w:val="id-ID"/>
        </w:rPr>
        <w:tab/>
        <w:t xml:space="preserve"> 1</w:t>
      </w:r>
    </w:p>
    <w:p w14:paraId="3E2E4672" w14:textId="7F98FDF9" w:rsidR="00A114B0" w:rsidRDefault="006934F8" w:rsidP="006934F8">
      <w:pPr>
        <w:rPr>
          <w:b/>
          <w:bCs/>
        </w:rPr>
      </w:pPr>
      <w:r w:rsidRPr="006934F8">
        <w:rPr>
          <w:lang w:val="id-ID"/>
        </w:rPr>
        <w:t>Dimana PS adalah pricing strategy; EO adalah entrepreneurial orientation; SC adalah social capital; β1, β2 dan β3 adalah parameter estimat; ε adalah variable pengganggu; i adalah perusahaan ke i.</w:t>
      </w:r>
    </w:p>
    <w:p w14:paraId="105159CF" w14:textId="77777777" w:rsidR="00A114B0" w:rsidRDefault="00A114B0" w:rsidP="00A114B0">
      <w:pPr>
        <w:rPr>
          <w:b/>
          <w:bCs/>
        </w:rPr>
      </w:pPr>
    </w:p>
    <w:bookmarkEnd w:id="2"/>
    <w:bookmarkEnd w:id="3"/>
    <w:p w14:paraId="52F942E6" w14:textId="300A1F4A" w:rsidR="00E619D6" w:rsidRPr="003D6B19" w:rsidRDefault="006934F8" w:rsidP="00E619D6">
      <w:pPr>
        <w:numPr>
          <w:ilvl w:val="0"/>
          <w:numId w:val="15"/>
        </w:numPr>
        <w:tabs>
          <w:tab w:val="left" w:pos="426"/>
        </w:tabs>
        <w:ind w:left="426" w:hanging="426"/>
        <w:rPr>
          <w:b/>
          <w:bCs/>
          <w:lang w:val="id-ID"/>
        </w:rPr>
      </w:pPr>
      <w:r w:rsidRPr="006934F8">
        <w:rPr>
          <w:b/>
          <w:bCs/>
          <w:lang w:val="id-ID"/>
        </w:rPr>
        <w:t>ANALISIS DAN PEMBAHASAN</w:t>
      </w:r>
      <w:r w:rsidRPr="006934F8">
        <w:rPr>
          <w:b/>
          <w:bCs/>
          <w:lang w:val="id-ID"/>
        </w:rPr>
        <w:t xml:space="preserve"> </w:t>
      </w:r>
      <w:r w:rsidR="00E619D6" w:rsidRPr="003D6B19">
        <w:rPr>
          <w:b/>
          <w:bCs/>
        </w:rPr>
        <w:t>(10 PT)</w:t>
      </w:r>
    </w:p>
    <w:p w14:paraId="523D4E71" w14:textId="77777777" w:rsidR="006934F8" w:rsidRPr="006934F8" w:rsidRDefault="006934F8" w:rsidP="006934F8">
      <w:pPr>
        <w:ind w:firstLine="426"/>
        <w:jc w:val="both"/>
        <w:rPr>
          <w:lang w:val="id-ID"/>
        </w:rPr>
      </w:pPr>
      <w:r w:rsidRPr="006934F8">
        <w:rPr>
          <w:lang w:val="id-ID"/>
        </w:rPr>
        <w:t>Hasil penelitian secara langsung menyajikan data dan hasil yang didapat dari penelitin. Bagian ini hanya memberikan uraian naratif atas hasil penelitian tanpa ada interpretasi atau evaluasi.</w:t>
      </w:r>
    </w:p>
    <w:p w14:paraId="4613A0AD" w14:textId="5C8D410B" w:rsidR="00E619D6" w:rsidRDefault="006934F8" w:rsidP="006934F8">
      <w:pPr>
        <w:ind w:firstLine="426"/>
        <w:jc w:val="both"/>
        <w:rPr>
          <w:lang w:val="id-ID"/>
        </w:rPr>
      </w:pPr>
      <w:r w:rsidRPr="006934F8">
        <w:rPr>
          <w:lang w:val="id-ID"/>
        </w:rPr>
        <w:t>Bagian pembahasan menginterpretasikan makna dari hasil penelitian, baik sesuai dengan harapan atau tidak</w:t>
      </w:r>
    </w:p>
    <w:p w14:paraId="6028F950" w14:textId="1EF14B3B" w:rsidR="00307BF5" w:rsidRDefault="00307BF5" w:rsidP="00307BF5">
      <w:pPr>
        <w:jc w:val="both"/>
        <w:rPr>
          <w:lang w:val="id-ID"/>
        </w:rPr>
      </w:pPr>
    </w:p>
    <w:p w14:paraId="0A31F73C" w14:textId="77777777" w:rsidR="00307BF5" w:rsidRPr="00307BF5" w:rsidRDefault="00307BF5" w:rsidP="00307BF5">
      <w:pPr>
        <w:spacing w:line="276" w:lineRule="auto"/>
        <w:jc w:val="both"/>
        <w:rPr>
          <w:bCs/>
          <w:szCs w:val="18"/>
          <w:lang w:val="en-AU" w:eastAsia="zh-CN"/>
        </w:rPr>
      </w:pPr>
      <w:proofErr w:type="spellStart"/>
      <w:r w:rsidRPr="00307BF5">
        <w:rPr>
          <w:bCs/>
          <w:szCs w:val="18"/>
          <w:lang w:val="en-AU" w:eastAsia="zh-CN"/>
        </w:rPr>
        <w:t>Penulisan</w:t>
      </w:r>
      <w:proofErr w:type="spellEnd"/>
      <w:r w:rsidRPr="00307BF5">
        <w:rPr>
          <w:bCs/>
          <w:szCs w:val="18"/>
          <w:lang w:val="en-AU" w:eastAsia="zh-CN"/>
        </w:rPr>
        <w:t xml:space="preserve"> Gambar dan </w:t>
      </w:r>
      <w:proofErr w:type="spellStart"/>
      <w:r w:rsidRPr="00307BF5">
        <w:rPr>
          <w:bCs/>
          <w:szCs w:val="18"/>
          <w:lang w:val="en-AU" w:eastAsia="zh-CN"/>
        </w:rPr>
        <w:t>Tabel</w:t>
      </w:r>
      <w:proofErr w:type="spellEnd"/>
    </w:p>
    <w:p w14:paraId="39E65D4A" w14:textId="77777777" w:rsidR="00307BF5" w:rsidRDefault="00307BF5" w:rsidP="00307BF5">
      <w:pPr>
        <w:jc w:val="center"/>
        <w:rPr>
          <w:b/>
          <w:bCs/>
        </w:rPr>
      </w:pPr>
    </w:p>
    <w:p w14:paraId="5595A4F7" w14:textId="77777777" w:rsidR="00307BF5" w:rsidRPr="00CA41D0" w:rsidRDefault="00307BF5" w:rsidP="00307BF5">
      <w:pPr>
        <w:jc w:val="center"/>
      </w:pPr>
      <w:proofErr w:type="spellStart"/>
      <w:r w:rsidRPr="00CA41D0">
        <w:t>Tabel</w:t>
      </w:r>
      <w:proofErr w:type="spellEnd"/>
      <w:r w:rsidRPr="00CA41D0">
        <w:t xml:space="preserve"> 1. </w:t>
      </w:r>
      <w:proofErr w:type="spellStart"/>
      <w:r w:rsidRPr="00CA41D0">
        <w:t>Ringkasan</w:t>
      </w:r>
      <w:proofErr w:type="spellEnd"/>
      <w:r w:rsidRPr="00CA41D0">
        <w:t xml:space="preserve"> </w:t>
      </w:r>
      <w:r w:rsidRPr="00CA41D0">
        <w:rPr>
          <w:i/>
        </w:rPr>
        <w:t>output</w:t>
      </w:r>
      <w:r w:rsidRPr="00CA41D0">
        <w:t xml:space="preserve"> SPSS </w:t>
      </w:r>
      <w:proofErr w:type="spellStart"/>
      <w:r w:rsidRPr="00CA41D0">
        <w:t>atas</w:t>
      </w:r>
      <w:proofErr w:type="spellEnd"/>
      <w:r w:rsidRPr="00CA41D0">
        <w:t xml:space="preserve"> </w:t>
      </w:r>
      <w:proofErr w:type="spellStart"/>
      <w:r w:rsidRPr="00CA41D0">
        <w:t>pengujian</w:t>
      </w:r>
      <w:proofErr w:type="spellEnd"/>
      <w:r w:rsidRPr="00CA41D0">
        <w:t xml:space="preserve"> uji </w:t>
      </w:r>
      <w:proofErr w:type="spellStart"/>
      <w:r w:rsidRPr="00CA41D0">
        <w:t>beda</w:t>
      </w:r>
      <w:proofErr w:type="spellEnd"/>
      <w:r w:rsidRPr="00CA41D0">
        <w:t xml:space="preserve"> </w:t>
      </w:r>
      <w:proofErr w:type="spellStart"/>
      <w:r w:rsidRPr="00CA41D0">
        <w:t>antara</w:t>
      </w:r>
      <w:proofErr w:type="spellEnd"/>
      <w:r w:rsidRPr="00CA41D0">
        <w:t xml:space="preserve"> VAR dan TVA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066"/>
        <w:gridCol w:w="1036"/>
        <w:gridCol w:w="1066"/>
        <w:gridCol w:w="1066"/>
        <w:gridCol w:w="1066"/>
        <w:gridCol w:w="1066"/>
        <w:gridCol w:w="1066"/>
      </w:tblGrid>
      <w:tr w:rsidR="00307BF5" w:rsidRPr="00307BF5" w14:paraId="291A9C0D" w14:textId="77777777" w:rsidTr="008C2249">
        <w:trPr>
          <w:jc w:val="center"/>
        </w:trPr>
        <w:tc>
          <w:tcPr>
            <w:tcW w:w="1005" w:type="dxa"/>
            <w:vMerge w:val="restart"/>
            <w:tcBorders>
              <w:top w:val="single" w:sz="4" w:space="0" w:color="auto"/>
              <w:bottom w:val="single" w:sz="4" w:space="0" w:color="auto"/>
            </w:tcBorders>
          </w:tcPr>
          <w:p w14:paraId="68E683B3" w14:textId="77777777" w:rsidR="00307BF5" w:rsidRPr="00307BF5" w:rsidRDefault="00307BF5" w:rsidP="008C2249">
            <w:pPr>
              <w:jc w:val="center"/>
              <w:rPr>
                <w:b/>
                <w:bCs/>
                <w:sz w:val="16"/>
                <w:szCs w:val="16"/>
              </w:rPr>
            </w:pPr>
          </w:p>
        </w:tc>
        <w:tc>
          <w:tcPr>
            <w:tcW w:w="7432" w:type="dxa"/>
            <w:gridSpan w:val="7"/>
            <w:tcBorders>
              <w:top w:val="single" w:sz="4" w:space="0" w:color="auto"/>
              <w:bottom w:val="single" w:sz="4" w:space="0" w:color="auto"/>
            </w:tcBorders>
          </w:tcPr>
          <w:p w14:paraId="6E576069" w14:textId="77777777" w:rsidR="00307BF5" w:rsidRPr="00307BF5" w:rsidRDefault="00307BF5" w:rsidP="008C2249">
            <w:pPr>
              <w:jc w:val="center"/>
              <w:rPr>
                <w:b/>
                <w:bCs/>
                <w:sz w:val="16"/>
                <w:szCs w:val="16"/>
              </w:rPr>
            </w:pPr>
            <w:r w:rsidRPr="00307BF5">
              <w:rPr>
                <w:b/>
                <w:bCs/>
                <w:sz w:val="16"/>
                <w:szCs w:val="16"/>
              </w:rPr>
              <w:t>P Value</w:t>
            </w:r>
          </w:p>
        </w:tc>
      </w:tr>
      <w:tr w:rsidR="00307BF5" w:rsidRPr="00307BF5" w14:paraId="2001FB3F" w14:textId="77777777" w:rsidTr="008C2249">
        <w:trPr>
          <w:jc w:val="center"/>
        </w:trPr>
        <w:tc>
          <w:tcPr>
            <w:tcW w:w="1005" w:type="dxa"/>
            <w:vMerge/>
            <w:tcBorders>
              <w:top w:val="single" w:sz="4" w:space="0" w:color="auto"/>
              <w:bottom w:val="single" w:sz="4" w:space="0" w:color="auto"/>
            </w:tcBorders>
          </w:tcPr>
          <w:p w14:paraId="7CE15498" w14:textId="77777777" w:rsidR="00307BF5" w:rsidRPr="00307BF5" w:rsidRDefault="00307BF5" w:rsidP="008C2249">
            <w:pPr>
              <w:jc w:val="center"/>
              <w:rPr>
                <w:b/>
                <w:bCs/>
                <w:sz w:val="16"/>
                <w:szCs w:val="16"/>
              </w:rPr>
            </w:pPr>
          </w:p>
        </w:tc>
        <w:tc>
          <w:tcPr>
            <w:tcW w:w="1066" w:type="dxa"/>
            <w:tcBorders>
              <w:top w:val="single" w:sz="4" w:space="0" w:color="auto"/>
              <w:bottom w:val="single" w:sz="4" w:space="0" w:color="auto"/>
            </w:tcBorders>
          </w:tcPr>
          <w:p w14:paraId="6B773C0F" w14:textId="77777777" w:rsidR="00307BF5" w:rsidRPr="00307BF5" w:rsidRDefault="00307BF5" w:rsidP="008C2249">
            <w:pPr>
              <w:jc w:val="center"/>
              <w:rPr>
                <w:b/>
                <w:bCs/>
                <w:sz w:val="16"/>
                <w:szCs w:val="16"/>
              </w:rPr>
            </w:pPr>
            <w:r w:rsidRPr="00307BF5">
              <w:rPr>
                <w:b/>
                <w:bCs/>
                <w:sz w:val="16"/>
                <w:szCs w:val="16"/>
              </w:rPr>
              <w:t>2005</w:t>
            </w:r>
          </w:p>
        </w:tc>
        <w:tc>
          <w:tcPr>
            <w:tcW w:w="1036" w:type="dxa"/>
            <w:tcBorders>
              <w:top w:val="single" w:sz="4" w:space="0" w:color="auto"/>
              <w:bottom w:val="single" w:sz="4" w:space="0" w:color="auto"/>
            </w:tcBorders>
          </w:tcPr>
          <w:p w14:paraId="5847FA91" w14:textId="77777777" w:rsidR="00307BF5" w:rsidRPr="00307BF5" w:rsidRDefault="00307BF5" w:rsidP="008C2249">
            <w:pPr>
              <w:jc w:val="center"/>
              <w:rPr>
                <w:b/>
                <w:bCs/>
                <w:sz w:val="16"/>
                <w:szCs w:val="16"/>
              </w:rPr>
            </w:pPr>
            <w:r w:rsidRPr="00307BF5">
              <w:rPr>
                <w:b/>
                <w:bCs/>
                <w:sz w:val="16"/>
                <w:szCs w:val="16"/>
              </w:rPr>
              <w:t>2006</w:t>
            </w:r>
          </w:p>
        </w:tc>
        <w:tc>
          <w:tcPr>
            <w:tcW w:w="1066" w:type="dxa"/>
            <w:tcBorders>
              <w:top w:val="single" w:sz="4" w:space="0" w:color="auto"/>
              <w:bottom w:val="single" w:sz="4" w:space="0" w:color="auto"/>
            </w:tcBorders>
          </w:tcPr>
          <w:p w14:paraId="5C6474E6" w14:textId="77777777" w:rsidR="00307BF5" w:rsidRPr="00307BF5" w:rsidRDefault="00307BF5" w:rsidP="008C2249">
            <w:pPr>
              <w:jc w:val="center"/>
              <w:rPr>
                <w:b/>
                <w:bCs/>
                <w:sz w:val="16"/>
                <w:szCs w:val="16"/>
              </w:rPr>
            </w:pPr>
            <w:r w:rsidRPr="00307BF5">
              <w:rPr>
                <w:b/>
                <w:bCs/>
                <w:sz w:val="16"/>
                <w:szCs w:val="16"/>
              </w:rPr>
              <w:t>2007</w:t>
            </w:r>
          </w:p>
        </w:tc>
        <w:tc>
          <w:tcPr>
            <w:tcW w:w="1066" w:type="dxa"/>
            <w:tcBorders>
              <w:top w:val="single" w:sz="4" w:space="0" w:color="auto"/>
              <w:bottom w:val="single" w:sz="4" w:space="0" w:color="auto"/>
            </w:tcBorders>
          </w:tcPr>
          <w:p w14:paraId="14E58ECC" w14:textId="77777777" w:rsidR="00307BF5" w:rsidRPr="00307BF5" w:rsidRDefault="00307BF5" w:rsidP="008C2249">
            <w:pPr>
              <w:jc w:val="center"/>
              <w:rPr>
                <w:b/>
                <w:bCs/>
                <w:sz w:val="16"/>
                <w:szCs w:val="16"/>
              </w:rPr>
            </w:pPr>
            <w:r w:rsidRPr="00307BF5">
              <w:rPr>
                <w:b/>
                <w:bCs/>
                <w:sz w:val="16"/>
                <w:szCs w:val="16"/>
              </w:rPr>
              <w:t>2008</w:t>
            </w:r>
          </w:p>
        </w:tc>
        <w:tc>
          <w:tcPr>
            <w:tcW w:w="1066" w:type="dxa"/>
            <w:tcBorders>
              <w:top w:val="single" w:sz="4" w:space="0" w:color="auto"/>
              <w:bottom w:val="single" w:sz="4" w:space="0" w:color="auto"/>
            </w:tcBorders>
          </w:tcPr>
          <w:p w14:paraId="45A3E986" w14:textId="77777777" w:rsidR="00307BF5" w:rsidRPr="00307BF5" w:rsidRDefault="00307BF5" w:rsidP="008C2249">
            <w:pPr>
              <w:jc w:val="center"/>
              <w:rPr>
                <w:b/>
                <w:bCs/>
                <w:sz w:val="16"/>
                <w:szCs w:val="16"/>
              </w:rPr>
            </w:pPr>
            <w:r w:rsidRPr="00307BF5">
              <w:rPr>
                <w:b/>
                <w:bCs/>
                <w:sz w:val="16"/>
                <w:szCs w:val="16"/>
              </w:rPr>
              <w:t>2009</w:t>
            </w:r>
          </w:p>
        </w:tc>
        <w:tc>
          <w:tcPr>
            <w:tcW w:w="1066" w:type="dxa"/>
            <w:tcBorders>
              <w:top w:val="single" w:sz="4" w:space="0" w:color="auto"/>
              <w:bottom w:val="single" w:sz="4" w:space="0" w:color="auto"/>
            </w:tcBorders>
          </w:tcPr>
          <w:p w14:paraId="3C42831C" w14:textId="77777777" w:rsidR="00307BF5" w:rsidRPr="00307BF5" w:rsidRDefault="00307BF5" w:rsidP="008C2249">
            <w:pPr>
              <w:jc w:val="center"/>
              <w:rPr>
                <w:b/>
                <w:bCs/>
                <w:sz w:val="16"/>
                <w:szCs w:val="16"/>
              </w:rPr>
            </w:pPr>
            <w:r w:rsidRPr="00307BF5">
              <w:rPr>
                <w:b/>
                <w:bCs/>
                <w:sz w:val="16"/>
                <w:szCs w:val="16"/>
              </w:rPr>
              <w:t>2010</w:t>
            </w:r>
          </w:p>
        </w:tc>
        <w:tc>
          <w:tcPr>
            <w:tcW w:w="1066" w:type="dxa"/>
            <w:tcBorders>
              <w:top w:val="single" w:sz="4" w:space="0" w:color="auto"/>
              <w:bottom w:val="single" w:sz="4" w:space="0" w:color="auto"/>
            </w:tcBorders>
          </w:tcPr>
          <w:p w14:paraId="5EACA34F" w14:textId="77777777" w:rsidR="00307BF5" w:rsidRPr="00307BF5" w:rsidRDefault="00307BF5" w:rsidP="008C2249">
            <w:pPr>
              <w:jc w:val="center"/>
              <w:rPr>
                <w:b/>
                <w:bCs/>
                <w:sz w:val="16"/>
                <w:szCs w:val="16"/>
              </w:rPr>
            </w:pPr>
            <w:r w:rsidRPr="00307BF5">
              <w:rPr>
                <w:b/>
                <w:bCs/>
                <w:sz w:val="16"/>
                <w:szCs w:val="16"/>
              </w:rPr>
              <w:t>2011</w:t>
            </w:r>
          </w:p>
        </w:tc>
      </w:tr>
      <w:tr w:rsidR="00307BF5" w:rsidRPr="00307BF5" w14:paraId="1B910379" w14:textId="77777777" w:rsidTr="008C2249">
        <w:trPr>
          <w:jc w:val="center"/>
        </w:trPr>
        <w:tc>
          <w:tcPr>
            <w:tcW w:w="8437" w:type="dxa"/>
            <w:gridSpan w:val="8"/>
            <w:tcBorders>
              <w:top w:val="single" w:sz="4" w:space="0" w:color="auto"/>
            </w:tcBorders>
          </w:tcPr>
          <w:p w14:paraId="071068CC" w14:textId="77777777" w:rsidR="00307BF5" w:rsidRPr="00307BF5" w:rsidRDefault="00307BF5" w:rsidP="008C2249">
            <w:pPr>
              <w:rPr>
                <w:bCs/>
                <w:sz w:val="16"/>
                <w:szCs w:val="16"/>
              </w:rPr>
            </w:pPr>
            <w:r w:rsidRPr="00307BF5">
              <w:rPr>
                <w:bCs/>
                <w:sz w:val="16"/>
                <w:szCs w:val="16"/>
              </w:rPr>
              <w:t xml:space="preserve">Panel </w:t>
            </w:r>
            <w:proofErr w:type="gramStart"/>
            <w:r w:rsidRPr="00307BF5">
              <w:rPr>
                <w:bCs/>
                <w:sz w:val="16"/>
                <w:szCs w:val="16"/>
              </w:rPr>
              <w:t>A :</w:t>
            </w:r>
            <w:proofErr w:type="gramEnd"/>
            <w:r w:rsidRPr="00307BF5">
              <w:rPr>
                <w:bCs/>
                <w:sz w:val="16"/>
                <w:szCs w:val="16"/>
              </w:rPr>
              <w:t xml:space="preserve"> VAR</w:t>
            </w:r>
          </w:p>
        </w:tc>
      </w:tr>
      <w:tr w:rsidR="00307BF5" w:rsidRPr="00307BF5" w14:paraId="4F7275A5" w14:textId="77777777" w:rsidTr="008C2249">
        <w:trPr>
          <w:jc w:val="center"/>
        </w:trPr>
        <w:tc>
          <w:tcPr>
            <w:tcW w:w="1005" w:type="dxa"/>
          </w:tcPr>
          <w:p w14:paraId="253EF6A0" w14:textId="77777777" w:rsidR="00307BF5" w:rsidRPr="00307BF5" w:rsidRDefault="00307BF5" w:rsidP="008C2249">
            <w:pPr>
              <w:rPr>
                <w:bCs/>
                <w:sz w:val="16"/>
                <w:szCs w:val="16"/>
              </w:rPr>
            </w:pPr>
            <w:r w:rsidRPr="00307BF5">
              <w:rPr>
                <w:bCs/>
                <w:sz w:val="16"/>
                <w:szCs w:val="16"/>
              </w:rPr>
              <w:t>T +/- 1</w:t>
            </w:r>
          </w:p>
        </w:tc>
        <w:tc>
          <w:tcPr>
            <w:tcW w:w="1066" w:type="dxa"/>
          </w:tcPr>
          <w:p w14:paraId="7B881E68" w14:textId="77777777" w:rsidR="00307BF5" w:rsidRPr="00307BF5" w:rsidRDefault="00307BF5" w:rsidP="008C2249">
            <w:pPr>
              <w:rPr>
                <w:bCs/>
                <w:sz w:val="16"/>
                <w:szCs w:val="16"/>
              </w:rPr>
            </w:pPr>
            <w:r w:rsidRPr="00307BF5">
              <w:rPr>
                <w:bCs/>
                <w:sz w:val="16"/>
                <w:szCs w:val="16"/>
              </w:rPr>
              <w:t>0,511</w:t>
            </w:r>
          </w:p>
        </w:tc>
        <w:tc>
          <w:tcPr>
            <w:tcW w:w="1036" w:type="dxa"/>
          </w:tcPr>
          <w:p w14:paraId="30036428" w14:textId="77777777" w:rsidR="00307BF5" w:rsidRPr="00307BF5" w:rsidRDefault="00307BF5" w:rsidP="008C2249">
            <w:pPr>
              <w:rPr>
                <w:bCs/>
                <w:sz w:val="16"/>
                <w:szCs w:val="16"/>
              </w:rPr>
            </w:pPr>
            <w:r w:rsidRPr="00307BF5">
              <w:rPr>
                <w:bCs/>
                <w:sz w:val="16"/>
                <w:szCs w:val="16"/>
              </w:rPr>
              <w:t>1</w:t>
            </w:r>
          </w:p>
        </w:tc>
        <w:tc>
          <w:tcPr>
            <w:tcW w:w="1066" w:type="dxa"/>
          </w:tcPr>
          <w:p w14:paraId="0D262D6C" w14:textId="77777777" w:rsidR="00307BF5" w:rsidRPr="00307BF5" w:rsidRDefault="00307BF5" w:rsidP="008C2249">
            <w:pPr>
              <w:rPr>
                <w:bCs/>
                <w:sz w:val="16"/>
                <w:szCs w:val="16"/>
              </w:rPr>
            </w:pPr>
            <w:r w:rsidRPr="00307BF5">
              <w:rPr>
                <w:bCs/>
                <w:sz w:val="16"/>
                <w:szCs w:val="16"/>
              </w:rPr>
              <w:t>0,880</w:t>
            </w:r>
          </w:p>
        </w:tc>
        <w:tc>
          <w:tcPr>
            <w:tcW w:w="1066" w:type="dxa"/>
          </w:tcPr>
          <w:p w14:paraId="0CA94860" w14:textId="77777777" w:rsidR="00307BF5" w:rsidRPr="00307BF5" w:rsidRDefault="00307BF5" w:rsidP="008C2249">
            <w:pPr>
              <w:rPr>
                <w:bCs/>
                <w:sz w:val="16"/>
                <w:szCs w:val="16"/>
              </w:rPr>
            </w:pPr>
            <w:r w:rsidRPr="00307BF5">
              <w:rPr>
                <w:bCs/>
                <w:sz w:val="16"/>
                <w:szCs w:val="16"/>
              </w:rPr>
              <w:t>1</w:t>
            </w:r>
          </w:p>
        </w:tc>
        <w:tc>
          <w:tcPr>
            <w:tcW w:w="1066" w:type="dxa"/>
          </w:tcPr>
          <w:p w14:paraId="554A50EF" w14:textId="77777777" w:rsidR="00307BF5" w:rsidRPr="00307BF5" w:rsidRDefault="00307BF5" w:rsidP="008C2249">
            <w:pPr>
              <w:rPr>
                <w:bCs/>
                <w:sz w:val="16"/>
                <w:szCs w:val="16"/>
              </w:rPr>
            </w:pPr>
            <w:r w:rsidRPr="00307BF5">
              <w:rPr>
                <w:bCs/>
                <w:sz w:val="16"/>
                <w:szCs w:val="16"/>
              </w:rPr>
              <w:t>0,775</w:t>
            </w:r>
          </w:p>
        </w:tc>
        <w:tc>
          <w:tcPr>
            <w:tcW w:w="1066" w:type="dxa"/>
          </w:tcPr>
          <w:p w14:paraId="1F0FB44C" w14:textId="77777777" w:rsidR="00307BF5" w:rsidRPr="00307BF5" w:rsidRDefault="00307BF5" w:rsidP="008C2249">
            <w:pPr>
              <w:rPr>
                <w:bCs/>
                <w:sz w:val="16"/>
                <w:szCs w:val="16"/>
              </w:rPr>
            </w:pPr>
            <w:r w:rsidRPr="00307BF5">
              <w:rPr>
                <w:bCs/>
                <w:sz w:val="16"/>
                <w:szCs w:val="16"/>
              </w:rPr>
              <w:t>1</w:t>
            </w:r>
          </w:p>
        </w:tc>
        <w:tc>
          <w:tcPr>
            <w:tcW w:w="1066" w:type="dxa"/>
          </w:tcPr>
          <w:p w14:paraId="3884886C" w14:textId="77777777" w:rsidR="00307BF5" w:rsidRPr="00307BF5" w:rsidRDefault="00307BF5" w:rsidP="008C2249">
            <w:pPr>
              <w:rPr>
                <w:bCs/>
                <w:sz w:val="16"/>
                <w:szCs w:val="16"/>
              </w:rPr>
            </w:pPr>
            <w:r w:rsidRPr="00307BF5">
              <w:rPr>
                <w:bCs/>
                <w:sz w:val="16"/>
                <w:szCs w:val="16"/>
              </w:rPr>
              <w:t>0,892</w:t>
            </w:r>
          </w:p>
        </w:tc>
      </w:tr>
      <w:tr w:rsidR="00307BF5" w:rsidRPr="00307BF5" w14:paraId="52BD0C43" w14:textId="77777777" w:rsidTr="008C2249">
        <w:trPr>
          <w:jc w:val="center"/>
        </w:trPr>
        <w:tc>
          <w:tcPr>
            <w:tcW w:w="1005" w:type="dxa"/>
          </w:tcPr>
          <w:p w14:paraId="75180FAF" w14:textId="77777777" w:rsidR="00307BF5" w:rsidRPr="00307BF5" w:rsidRDefault="00307BF5" w:rsidP="008C2249">
            <w:pPr>
              <w:rPr>
                <w:bCs/>
                <w:sz w:val="16"/>
                <w:szCs w:val="16"/>
              </w:rPr>
            </w:pPr>
            <w:r w:rsidRPr="00307BF5">
              <w:rPr>
                <w:bCs/>
                <w:sz w:val="16"/>
                <w:szCs w:val="16"/>
              </w:rPr>
              <w:t>T +/- 2</w:t>
            </w:r>
          </w:p>
        </w:tc>
        <w:tc>
          <w:tcPr>
            <w:tcW w:w="1066" w:type="dxa"/>
          </w:tcPr>
          <w:p w14:paraId="371E9720" w14:textId="77777777" w:rsidR="00307BF5" w:rsidRPr="00307BF5" w:rsidRDefault="00307BF5" w:rsidP="008C2249">
            <w:pPr>
              <w:rPr>
                <w:bCs/>
                <w:sz w:val="16"/>
                <w:szCs w:val="16"/>
              </w:rPr>
            </w:pPr>
            <w:r w:rsidRPr="00307BF5">
              <w:rPr>
                <w:bCs/>
                <w:sz w:val="16"/>
                <w:szCs w:val="16"/>
              </w:rPr>
              <w:t>0,907</w:t>
            </w:r>
          </w:p>
        </w:tc>
        <w:tc>
          <w:tcPr>
            <w:tcW w:w="1036" w:type="dxa"/>
          </w:tcPr>
          <w:p w14:paraId="2B98657E" w14:textId="77777777" w:rsidR="00307BF5" w:rsidRPr="00307BF5" w:rsidRDefault="00307BF5" w:rsidP="008C2249">
            <w:pPr>
              <w:rPr>
                <w:bCs/>
                <w:sz w:val="16"/>
                <w:szCs w:val="16"/>
              </w:rPr>
            </w:pPr>
            <w:r w:rsidRPr="00307BF5">
              <w:rPr>
                <w:bCs/>
                <w:sz w:val="16"/>
                <w:szCs w:val="16"/>
              </w:rPr>
              <w:t>0,910</w:t>
            </w:r>
          </w:p>
        </w:tc>
        <w:tc>
          <w:tcPr>
            <w:tcW w:w="1066" w:type="dxa"/>
          </w:tcPr>
          <w:p w14:paraId="107A5576" w14:textId="77777777" w:rsidR="00307BF5" w:rsidRPr="00307BF5" w:rsidRDefault="00307BF5" w:rsidP="008C2249">
            <w:pPr>
              <w:rPr>
                <w:bCs/>
                <w:sz w:val="16"/>
                <w:szCs w:val="16"/>
              </w:rPr>
            </w:pPr>
            <w:r w:rsidRPr="00307BF5">
              <w:rPr>
                <w:bCs/>
                <w:sz w:val="16"/>
                <w:szCs w:val="16"/>
              </w:rPr>
              <w:t>0,915</w:t>
            </w:r>
          </w:p>
        </w:tc>
        <w:tc>
          <w:tcPr>
            <w:tcW w:w="1066" w:type="dxa"/>
          </w:tcPr>
          <w:p w14:paraId="402D5CAB" w14:textId="77777777" w:rsidR="00307BF5" w:rsidRPr="00307BF5" w:rsidRDefault="00307BF5" w:rsidP="008C2249">
            <w:pPr>
              <w:rPr>
                <w:bCs/>
                <w:sz w:val="16"/>
                <w:szCs w:val="16"/>
              </w:rPr>
            </w:pPr>
            <w:r w:rsidRPr="00307BF5">
              <w:rPr>
                <w:bCs/>
                <w:sz w:val="16"/>
                <w:szCs w:val="16"/>
              </w:rPr>
              <w:t>0,576</w:t>
            </w:r>
          </w:p>
        </w:tc>
        <w:tc>
          <w:tcPr>
            <w:tcW w:w="1066" w:type="dxa"/>
          </w:tcPr>
          <w:p w14:paraId="2748ECEE" w14:textId="77777777" w:rsidR="00307BF5" w:rsidRPr="00307BF5" w:rsidRDefault="00307BF5" w:rsidP="008C2249">
            <w:pPr>
              <w:rPr>
                <w:bCs/>
                <w:sz w:val="16"/>
                <w:szCs w:val="16"/>
              </w:rPr>
            </w:pPr>
            <w:r w:rsidRPr="00307BF5">
              <w:rPr>
                <w:bCs/>
                <w:sz w:val="16"/>
                <w:szCs w:val="16"/>
              </w:rPr>
              <w:t>0,762</w:t>
            </w:r>
          </w:p>
        </w:tc>
        <w:tc>
          <w:tcPr>
            <w:tcW w:w="1066" w:type="dxa"/>
          </w:tcPr>
          <w:p w14:paraId="33B63403" w14:textId="77777777" w:rsidR="00307BF5" w:rsidRPr="00307BF5" w:rsidRDefault="00307BF5" w:rsidP="008C2249">
            <w:pPr>
              <w:rPr>
                <w:bCs/>
                <w:sz w:val="16"/>
                <w:szCs w:val="16"/>
              </w:rPr>
            </w:pPr>
            <w:r w:rsidRPr="00307BF5">
              <w:rPr>
                <w:bCs/>
                <w:sz w:val="16"/>
                <w:szCs w:val="16"/>
              </w:rPr>
              <w:t>0,624</w:t>
            </w:r>
          </w:p>
        </w:tc>
        <w:tc>
          <w:tcPr>
            <w:tcW w:w="1066" w:type="dxa"/>
          </w:tcPr>
          <w:p w14:paraId="6FF630DA" w14:textId="77777777" w:rsidR="00307BF5" w:rsidRPr="00307BF5" w:rsidRDefault="00307BF5" w:rsidP="008C2249">
            <w:pPr>
              <w:rPr>
                <w:bCs/>
                <w:sz w:val="16"/>
                <w:szCs w:val="16"/>
              </w:rPr>
            </w:pPr>
            <w:r w:rsidRPr="00307BF5">
              <w:rPr>
                <w:bCs/>
                <w:sz w:val="16"/>
                <w:szCs w:val="16"/>
              </w:rPr>
              <w:t>0,923</w:t>
            </w:r>
          </w:p>
        </w:tc>
      </w:tr>
      <w:tr w:rsidR="00307BF5" w:rsidRPr="00307BF5" w14:paraId="1988D340" w14:textId="77777777" w:rsidTr="008C2249">
        <w:trPr>
          <w:jc w:val="center"/>
        </w:trPr>
        <w:tc>
          <w:tcPr>
            <w:tcW w:w="1005" w:type="dxa"/>
          </w:tcPr>
          <w:p w14:paraId="398C43ED" w14:textId="77777777" w:rsidR="00307BF5" w:rsidRPr="00307BF5" w:rsidRDefault="00307BF5" w:rsidP="008C2249">
            <w:pPr>
              <w:rPr>
                <w:bCs/>
                <w:sz w:val="16"/>
                <w:szCs w:val="16"/>
              </w:rPr>
            </w:pPr>
            <w:r w:rsidRPr="00307BF5">
              <w:rPr>
                <w:bCs/>
                <w:sz w:val="16"/>
                <w:szCs w:val="16"/>
              </w:rPr>
              <w:t>T +/- 3</w:t>
            </w:r>
          </w:p>
        </w:tc>
        <w:tc>
          <w:tcPr>
            <w:tcW w:w="1066" w:type="dxa"/>
          </w:tcPr>
          <w:p w14:paraId="5516AFEA" w14:textId="77777777" w:rsidR="00307BF5" w:rsidRPr="00307BF5" w:rsidRDefault="00307BF5" w:rsidP="008C2249">
            <w:pPr>
              <w:rPr>
                <w:bCs/>
                <w:sz w:val="16"/>
                <w:szCs w:val="16"/>
              </w:rPr>
            </w:pPr>
            <w:r w:rsidRPr="00307BF5">
              <w:rPr>
                <w:bCs/>
                <w:sz w:val="16"/>
                <w:szCs w:val="16"/>
              </w:rPr>
              <w:t>0,849</w:t>
            </w:r>
          </w:p>
        </w:tc>
        <w:tc>
          <w:tcPr>
            <w:tcW w:w="1036" w:type="dxa"/>
          </w:tcPr>
          <w:p w14:paraId="62679586" w14:textId="77777777" w:rsidR="00307BF5" w:rsidRPr="00307BF5" w:rsidRDefault="00307BF5" w:rsidP="008C2249">
            <w:pPr>
              <w:rPr>
                <w:bCs/>
                <w:sz w:val="16"/>
                <w:szCs w:val="16"/>
              </w:rPr>
            </w:pPr>
            <w:r w:rsidRPr="00307BF5">
              <w:rPr>
                <w:bCs/>
                <w:sz w:val="16"/>
                <w:szCs w:val="16"/>
              </w:rPr>
              <w:t>0,579</w:t>
            </w:r>
          </w:p>
        </w:tc>
        <w:tc>
          <w:tcPr>
            <w:tcW w:w="1066" w:type="dxa"/>
          </w:tcPr>
          <w:p w14:paraId="3AE016A3" w14:textId="77777777" w:rsidR="00307BF5" w:rsidRPr="00307BF5" w:rsidRDefault="00307BF5" w:rsidP="008C2249">
            <w:pPr>
              <w:rPr>
                <w:bCs/>
                <w:sz w:val="16"/>
                <w:szCs w:val="16"/>
              </w:rPr>
            </w:pPr>
            <w:r w:rsidRPr="00307BF5">
              <w:rPr>
                <w:bCs/>
                <w:sz w:val="16"/>
                <w:szCs w:val="16"/>
              </w:rPr>
              <w:t>0,542</w:t>
            </w:r>
          </w:p>
        </w:tc>
        <w:tc>
          <w:tcPr>
            <w:tcW w:w="1066" w:type="dxa"/>
          </w:tcPr>
          <w:p w14:paraId="41D146B4" w14:textId="77777777" w:rsidR="00307BF5" w:rsidRPr="00307BF5" w:rsidRDefault="00307BF5" w:rsidP="008C2249">
            <w:pPr>
              <w:rPr>
                <w:bCs/>
                <w:sz w:val="16"/>
                <w:szCs w:val="16"/>
              </w:rPr>
            </w:pPr>
            <w:r w:rsidRPr="00307BF5">
              <w:rPr>
                <w:bCs/>
                <w:sz w:val="16"/>
                <w:szCs w:val="16"/>
              </w:rPr>
              <w:t>0,235</w:t>
            </w:r>
          </w:p>
        </w:tc>
        <w:tc>
          <w:tcPr>
            <w:tcW w:w="1066" w:type="dxa"/>
          </w:tcPr>
          <w:p w14:paraId="149238EA" w14:textId="77777777" w:rsidR="00307BF5" w:rsidRPr="00307BF5" w:rsidRDefault="00307BF5" w:rsidP="008C2249">
            <w:pPr>
              <w:rPr>
                <w:bCs/>
                <w:sz w:val="16"/>
                <w:szCs w:val="16"/>
              </w:rPr>
            </w:pPr>
            <w:r w:rsidRPr="00307BF5">
              <w:rPr>
                <w:bCs/>
                <w:sz w:val="16"/>
                <w:szCs w:val="16"/>
              </w:rPr>
              <w:t>0,869</w:t>
            </w:r>
          </w:p>
        </w:tc>
        <w:tc>
          <w:tcPr>
            <w:tcW w:w="1066" w:type="dxa"/>
          </w:tcPr>
          <w:p w14:paraId="489E3476" w14:textId="77777777" w:rsidR="00307BF5" w:rsidRPr="00307BF5" w:rsidRDefault="00307BF5" w:rsidP="008C2249">
            <w:pPr>
              <w:rPr>
                <w:bCs/>
                <w:sz w:val="16"/>
                <w:szCs w:val="16"/>
              </w:rPr>
            </w:pPr>
            <w:r w:rsidRPr="00307BF5">
              <w:rPr>
                <w:bCs/>
                <w:sz w:val="16"/>
                <w:szCs w:val="16"/>
              </w:rPr>
              <w:t>0,378</w:t>
            </w:r>
          </w:p>
        </w:tc>
        <w:tc>
          <w:tcPr>
            <w:tcW w:w="1066" w:type="dxa"/>
          </w:tcPr>
          <w:p w14:paraId="784F6955" w14:textId="77777777" w:rsidR="00307BF5" w:rsidRPr="00307BF5" w:rsidRDefault="00307BF5" w:rsidP="008C2249">
            <w:pPr>
              <w:rPr>
                <w:bCs/>
                <w:sz w:val="16"/>
                <w:szCs w:val="16"/>
              </w:rPr>
            </w:pPr>
            <w:r w:rsidRPr="00307BF5">
              <w:rPr>
                <w:bCs/>
                <w:sz w:val="16"/>
                <w:szCs w:val="16"/>
              </w:rPr>
              <w:t>0,814</w:t>
            </w:r>
          </w:p>
        </w:tc>
      </w:tr>
      <w:tr w:rsidR="00307BF5" w:rsidRPr="00307BF5" w14:paraId="3D6F89E2" w14:textId="77777777" w:rsidTr="008C2249">
        <w:trPr>
          <w:jc w:val="center"/>
        </w:trPr>
        <w:tc>
          <w:tcPr>
            <w:tcW w:w="8437" w:type="dxa"/>
            <w:gridSpan w:val="8"/>
            <w:tcBorders>
              <w:top w:val="single" w:sz="4" w:space="0" w:color="auto"/>
            </w:tcBorders>
          </w:tcPr>
          <w:p w14:paraId="311CEAFC" w14:textId="77777777" w:rsidR="00307BF5" w:rsidRPr="00307BF5" w:rsidRDefault="00307BF5" w:rsidP="008C2249">
            <w:pPr>
              <w:rPr>
                <w:bCs/>
                <w:sz w:val="16"/>
                <w:szCs w:val="16"/>
              </w:rPr>
            </w:pPr>
            <w:r w:rsidRPr="00307BF5">
              <w:rPr>
                <w:bCs/>
                <w:sz w:val="16"/>
                <w:szCs w:val="16"/>
              </w:rPr>
              <w:t xml:space="preserve">Panel </w:t>
            </w:r>
            <w:proofErr w:type="gramStart"/>
            <w:r w:rsidRPr="00307BF5">
              <w:rPr>
                <w:bCs/>
                <w:sz w:val="16"/>
                <w:szCs w:val="16"/>
              </w:rPr>
              <w:t>B :</w:t>
            </w:r>
            <w:proofErr w:type="gramEnd"/>
            <w:r w:rsidRPr="00307BF5">
              <w:rPr>
                <w:bCs/>
                <w:sz w:val="16"/>
                <w:szCs w:val="16"/>
              </w:rPr>
              <w:t xml:space="preserve"> TVA</w:t>
            </w:r>
          </w:p>
        </w:tc>
      </w:tr>
      <w:tr w:rsidR="00307BF5" w:rsidRPr="00307BF5" w14:paraId="258233E2" w14:textId="77777777" w:rsidTr="008C2249">
        <w:trPr>
          <w:jc w:val="center"/>
        </w:trPr>
        <w:tc>
          <w:tcPr>
            <w:tcW w:w="1005" w:type="dxa"/>
          </w:tcPr>
          <w:p w14:paraId="7B096FC0" w14:textId="77777777" w:rsidR="00307BF5" w:rsidRPr="00307BF5" w:rsidRDefault="00307BF5" w:rsidP="008C2249">
            <w:pPr>
              <w:rPr>
                <w:bCs/>
                <w:sz w:val="16"/>
                <w:szCs w:val="16"/>
              </w:rPr>
            </w:pPr>
            <w:r w:rsidRPr="00307BF5">
              <w:rPr>
                <w:bCs/>
                <w:sz w:val="16"/>
                <w:szCs w:val="16"/>
              </w:rPr>
              <w:t>T +/- 1</w:t>
            </w:r>
          </w:p>
        </w:tc>
        <w:tc>
          <w:tcPr>
            <w:tcW w:w="1066" w:type="dxa"/>
          </w:tcPr>
          <w:p w14:paraId="341111FC" w14:textId="77777777" w:rsidR="00307BF5" w:rsidRPr="00307BF5" w:rsidRDefault="00307BF5" w:rsidP="008C2249">
            <w:pPr>
              <w:rPr>
                <w:bCs/>
                <w:sz w:val="16"/>
                <w:szCs w:val="16"/>
              </w:rPr>
            </w:pPr>
            <w:r w:rsidRPr="00307BF5">
              <w:rPr>
                <w:bCs/>
                <w:sz w:val="16"/>
                <w:szCs w:val="16"/>
              </w:rPr>
              <w:t>0,503</w:t>
            </w:r>
          </w:p>
        </w:tc>
        <w:tc>
          <w:tcPr>
            <w:tcW w:w="1036" w:type="dxa"/>
          </w:tcPr>
          <w:p w14:paraId="0DEBC67E" w14:textId="77777777" w:rsidR="00307BF5" w:rsidRPr="00307BF5" w:rsidRDefault="00307BF5" w:rsidP="008C2249">
            <w:pPr>
              <w:rPr>
                <w:bCs/>
                <w:sz w:val="16"/>
                <w:szCs w:val="16"/>
              </w:rPr>
            </w:pPr>
            <w:r w:rsidRPr="00307BF5">
              <w:rPr>
                <w:bCs/>
                <w:sz w:val="16"/>
                <w:szCs w:val="16"/>
              </w:rPr>
              <w:t>0,307</w:t>
            </w:r>
          </w:p>
        </w:tc>
        <w:tc>
          <w:tcPr>
            <w:tcW w:w="1066" w:type="dxa"/>
          </w:tcPr>
          <w:p w14:paraId="292A905D" w14:textId="77777777" w:rsidR="00307BF5" w:rsidRPr="00307BF5" w:rsidRDefault="00307BF5" w:rsidP="008C2249">
            <w:pPr>
              <w:rPr>
                <w:bCs/>
                <w:sz w:val="16"/>
                <w:szCs w:val="16"/>
              </w:rPr>
            </w:pPr>
            <w:r w:rsidRPr="00307BF5">
              <w:rPr>
                <w:bCs/>
                <w:sz w:val="16"/>
                <w:szCs w:val="16"/>
              </w:rPr>
              <w:t>1</w:t>
            </w:r>
          </w:p>
        </w:tc>
        <w:tc>
          <w:tcPr>
            <w:tcW w:w="1066" w:type="dxa"/>
          </w:tcPr>
          <w:p w14:paraId="60F1094A" w14:textId="77777777" w:rsidR="00307BF5" w:rsidRPr="00307BF5" w:rsidRDefault="00307BF5" w:rsidP="008C2249">
            <w:pPr>
              <w:rPr>
                <w:bCs/>
                <w:sz w:val="16"/>
                <w:szCs w:val="16"/>
              </w:rPr>
            </w:pPr>
            <w:r w:rsidRPr="00307BF5">
              <w:rPr>
                <w:bCs/>
                <w:sz w:val="16"/>
                <w:szCs w:val="16"/>
              </w:rPr>
              <w:t>0,710</w:t>
            </w:r>
          </w:p>
        </w:tc>
        <w:tc>
          <w:tcPr>
            <w:tcW w:w="1066" w:type="dxa"/>
          </w:tcPr>
          <w:p w14:paraId="19FE3CFE" w14:textId="77777777" w:rsidR="00307BF5" w:rsidRPr="00307BF5" w:rsidRDefault="00307BF5" w:rsidP="008C2249">
            <w:pPr>
              <w:rPr>
                <w:bCs/>
                <w:sz w:val="16"/>
                <w:szCs w:val="16"/>
              </w:rPr>
            </w:pPr>
            <w:r w:rsidRPr="00307BF5">
              <w:rPr>
                <w:bCs/>
                <w:sz w:val="16"/>
                <w:szCs w:val="16"/>
              </w:rPr>
              <w:t>0,499</w:t>
            </w:r>
          </w:p>
        </w:tc>
        <w:tc>
          <w:tcPr>
            <w:tcW w:w="1066" w:type="dxa"/>
          </w:tcPr>
          <w:p w14:paraId="49769F56" w14:textId="77777777" w:rsidR="00307BF5" w:rsidRPr="00307BF5" w:rsidRDefault="00307BF5" w:rsidP="008C2249">
            <w:pPr>
              <w:rPr>
                <w:bCs/>
                <w:sz w:val="16"/>
                <w:szCs w:val="16"/>
              </w:rPr>
            </w:pPr>
            <w:r w:rsidRPr="00307BF5">
              <w:rPr>
                <w:bCs/>
                <w:sz w:val="16"/>
                <w:szCs w:val="16"/>
              </w:rPr>
              <w:t>0,749</w:t>
            </w:r>
          </w:p>
        </w:tc>
        <w:tc>
          <w:tcPr>
            <w:tcW w:w="1066" w:type="dxa"/>
          </w:tcPr>
          <w:p w14:paraId="66CB6F85" w14:textId="77777777" w:rsidR="00307BF5" w:rsidRPr="00307BF5" w:rsidRDefault="00307BF5" w:rsidP="008C2249">
            <w:pPr>
              <w:rPr>
                <w:bCs/>
                <w:sz w:val="16"/>
                <w:szCs w:val="16"/>
              </w:rPr>
            </w:pPr>
            <w:r w:rsidRPr="00307BF5">
              <w:rPr>
                <w:bCs/>
                <w:sz w:val="16"/>
                <w:szCs w:val="16"/>
              </w:rPr>
              <w:t>0,280</w:t>
            </w:r>
          </w:p>
        </w:tc>
      </w:tr>
      <w:tr w:rsidR="00307BF5" w:rsidRPr="00307BF5" w14:paraId="68D2EC17" w14:textId="77777777" w:rsidTr="008C2249">
        <w:trPr>
          <w:jc w:val="center"/>
        </w:trPr>
        <w:tc>
          <w:tcPr>
            <w:tcW w:w="1005" w:type="dxa"/>
          </w:tcPr>
          <w:p w14:paraId="0F0D3487" w14:textId="77777777" w:rsidR="00307BF5" w:rsidRPr="00307BF5" w:rsidRDefault="00307BF5" w:rsidP="008C2249">
            <w:pPr>
              <w:rPr>
                <w:bCs/>
                <w:sz w:val="16"/>
                <w:szCs w:val="16"/>
              </w:rPr>
            </w:pPr>
            <w:r w:rsidRPr="00307BF5">
              <w:rPr>
                <w:bCs/>
                <w:sz w:val="16"/>
                <w:szCs w:val="16"/>
              </w:rPr>
              <w:t>T +/- 2</w:t>
            </w:r>
          </w:p>
        </w:tc>
        <w:tc>
          <w:tcPr>
            <w:tcW w:w="1066" w:type="dxa"/>
          </w:tcPr>
          <w:p w14:paraId="08A4E734" w14:textId="77777777" w:rsidR="00307BF5" w:rsidRPr="00307BF5" w:rsidRDefault="00307BF5" w:rsidP="008C2249">
            <w:pPr>
              <w:rPr>
                <w:bCs/>
                <w:sz w:val="16"/>
                <w:szCs w:val="16"/>
              </w:rPr>
            </w:pPr>
            <w:r w:rsidRPr="00307BF5">
              <w:rPr>
                <w:bCs/>
                <w:sz w:val="16"/>
                <w:szCs w:val="16"/>
              </w:rPr>
              <w:t>1</w:t>
            </w:r>
          </w:p>
        </w:tc>
        <w:tc>
          <w:tcPr>
            <w:tcW w:w="1036" w:type="dxa"/>
          </w:tcPr>
          <w:p w14:paraId="3946664C" w14:textId="77777777" w:rsidR="00307BF5" w:rsidRPr="00307BF5" w:rsidRDefault="00307BF5" w:rsidP="008C2249">
            <w:pPr>
              <w:rPr>
                <w:bCs/>
                <w:sz w:val="16"/>
                <w:szCs w:val="16"/>
              </w:rPr>
            </w:pPr>
            <w:r w:rsidRPr="00307BF5">
              <w:rPr>
                <w:bCs/>
                <w:sz w:val="16"/>
                <w:szCs w:val="16"/>
              </w:rPr>
              <w:t>0,002*</w:t>
            </w:r>
          </w:p>
        </w:tc>
        <w:tc>
          <w:tcPr>
            <w:tcW w:w="1066" w:type="dxa"/>
          </w:tcPr>
          <w:p w14:paraId="5CCF321F" w14:textId="77777777" w:rsidR="00307BF5" w:rsidRPr="00307BF5" w:rsidRDefault="00307BF5" w:rsidP="008C2249">
            <w:pPr>
              <w:rPr>
                <w:bCs/>
                <w:sz w:val="16"/>
                <w:szCs w:val="16"/>
              </w:rPr>
            </w:pPr>
            <w:r w:rsidRPr="00307BF5">
              <w:rPr>
                <w:bCs/>
                <w:sz w:val="16"/>
                <w:szCs w:val="16"/>
              </w:rPr>
              <w:t>0,281</w:t>
            </w:r>
          </w:p>
        </w:tc>
        <w:tc>
          <w:tcPr>
            <w:tcW w:w="1066" w:type="dxa"/>
          </w:tcPr>
          <w:p w14:paraId="13C2B82A" w14:textId="77777777" w:rsidR="00307BF5" w:rsidRPr="00307BF5" w:rsidRDefault="00307BF5" w:rsidP="008C2249">
            <w:pPr>
              <w:rPr>
                <w:bCs/>
                <w:sz w:val="16"/>
                <w:szCs w:val="16"/>
              </w:rPr>
            </w:pPr>
            <w:r w:rsidRPr="00307BF5">
              <w:rPr>
                <w:bCs/>
                <w:sz w:val="16"/>
                <w:szCs w:val="16"/>
              </w:rPr>
              <w:t>0,245</w:t>
            </w:r>
          </w:p>
        </w:tc>
        <w:tc>
          <w:tcPr>
            <w:tcW w:w="1066" w:type="dxa"/>
          </w:tcPr>
          <w:p w14:paraId="301FE220" w14:textId="77777777" w:rsidR="00307BF5" w:rsidRPr="00307BF5" w:rsidRDefault="00307BF5" w:rsidP="008C2249">
            <w:pPr>
              <w:rPr>
                <w:bCs/>
                <w:sz w:val="16"/>
                <w:szCs w:val="16"/>
              </w:rPr>
            </w:pPr>
            <w:r w:rsidRPr="00307BF5">
              <w:rPr>
                <w:bCs/>
                <w:sz w:val="16"/>
                <w:szCs w:val="16"/>
              </w:rPr>
              <w:t>0,086**</w:t>
            </w:r>
          </w:p>
        </w:tc>
        <w:tc>
          <w:tcPr>
            <w:tcW w:w="1066" w:type="dxa"/>
          </w:tcPr>
          <w:p w14:paraId="5232A84F" w14:textId="77777777" w:rsidR="00307BF5" w:rsidRPr="00307BF5" w:rsidRDefault="00307BF5" w:rsidP="008C2249">
            <w:pPr>
              <w:rPr>
                <w:bCs/>
                <w:sz w:val="16"/>
                <w:szCs w:val="16"/>
              </w:rPr>
            </w:pPr>
            <w:r w:rsidRPr="00307BF5">
              <w:rPr>
                <w:bCs/>
                <w:sz w:val="16"/>
                <w:szCs w:val="16"/>
              </w:rPr>
              <w:t>0,815</w:t>
            </w:r>
          </w:p>
        </w:tc>
        <w:tc>
          <w:tcPr>
            <w:tcW w:w="1066" w:type="dxa"/>
          </w:tcPr>
          <w:p w14:paraId="7C6FD1DC" w14:textId="77777777" w:rsidR="00307BF5" w:rsidRPr="00307BF5" w:rsidRDefault="00307BF5" w:rsidP="008C2249">
            <w:pPr>
              <w:rPr>
                <w:bCs/>
                <w:sz w:val="16"/>
                <w:szCs w:val="16"/>
              </w:rPr>
            </w:pPr>
            <w:r w:rsidRPr="00307BF5">
              <w:rPr>
                <w:bCs/>
                <w:sz w:val="16"/>
                <w:szCs w:val="16"/>
              </w:rPr>
              <w:t>0,064**</w:t>
            </w:r>
          </w:p>
        </w:tc>
      </w:tr>
      <w:tr w:rsidR="00307BF5" w:rsidRPr="00307BF5" w14:paraId="2AEC40BB" w14:textId="77777777" w:rsidTr="008C2249">
        <w:trPr>
          <w:jc w:val="center"/>
        </w:trPr>
        <w:tc>
          <w:tcPr>
            <w:tcW w:w="1005" w:type="dxa"/>
          </w:tcPr>
          <w:p w14:paraId="7EB82244" w14:textId="77777777" w:rsidR="00307BF5" w:rsidRPr="00307BF5" w:rsidRDefault="00307BF5" w:rsidP="008C2249">
            <w:pPr>
              <w:rPr>
                <w:bCs/>
                <w:sz w:val="16"/>
                <w:szCs w:val="16"/>
              </w:rPr>
            </w:pPr>
            <w:r w:rsidRPr="00307BF5">
              <w:rPr>
                <w:bCs/>
                <w:sz w:val="16"/>
                <w:szCs w:val="16"/>
              </w:rPr>
              <w:t>T +/- 3</w:t>
            </w:r>
          </w:p>
        </w:tc>
        <w:tc>
          <w:tcPr>
            <w:tcW w:w="1066" w:type="dxa"/>
          </w:tcPr>
          <w:p w14:paraId="79078AD4" w14:textId="77777777" w:rsidR="00307BF5" w:rsidRPr="00307BF5" w:rsidRDefault="00307BF5" w:rsidP="008C2249">
            <w:pPr>
              <w:rPr>
                <w:bCs/>
                <w:sz w:val="16"/>
                <w:szCs w:val="16"/>
              </w:rPr>
            </w:pPr>
            <w:r w:rsidRPr="00307BF5">
              <w:rPr>
                <w:bCs/>
                <w:sz w:val="16"/>
                <w:szCs w:val="16"/>
              </w:rPr>
              <w:t>1</w:t>
            </w:r>
          </w:p>
        </w:tc>
        <w:tc>
          <w:tcPr>
            <w:tcW w:w="1036" w:type="dxa"/>
          </w:tcPr>
          <w:p w14:paraId="3165D83C" w14:textId="77777777" w:rsidR="00307BF5" w:rsidRPr="00307BF5" w:rsidRDefault="00307BF5" w:rsidP="008C2249">
            <w:pPr>
              <w:rPr>
                <w:bCs/>
                <w:sz w:val="16"/>
                <w:szCs w:val="16"/>
              </w:rPr>
            </w:pPr>
            <w:r w:rsidRPr="00307BF5">
              <w:rPr>
                <w:bCs/>
                <w:sz w:val="16"/>
                <w:szCs w:val="16"/>
              </w:rPr>
              <w:t>0,000*</w:t>
            </w:r>
          </w:p>
        </w:tc>
        <w:tc>
          <w:tcPr>
            <w:tcW w:w="1066" w:type="dxa"/>
          </w:tcPr>
          <w:p w14:paraId="2B253AF5" w14:textId="77777777" w:rsidR="00307BF5" w:rsidRPr="00307BF5" w:rsidRDefault="00307BF5" w:rsidP="008C2249">
            <w:pPr>
              <w:rPr>
                <w:bCs/>
                <w:sz w:val="16"/>
                <w:szCs w:val="16"/>
              </w:rPr>
            </w:pPr>
            <w:r w:rsidRPr="00307BF5">
              <w:rPr>
                <w:bCs/>
                <w:sz w:val="16"/>
                <w:szCs w:val="16"/>
              </w:rPr>
              <w:t>0,082**</w:t>
            </w:r>
          </w:p>
        </w:tc>
        <w:tc>
          <w:tcPr>
            <w:tcW w:w="1066" w:type="dxa"/>
          </w:tcPr>
          <w:p w14:paraId="4E539594" w14:textId="77777777" w:rsidR="00307BF5" w:rsidRPr="00307BF5" w:rsidRDefault="00307BF5" w:rsidP="008C2249">
            <w:pPr>
              <w:rPr>
                <w:bCs/>
                <w:sz w:val="16"/>
                <w:szCs w:val="16"/>
              </w:rPr>
            </w:pPr>
            <w:r w:rsidRPr="00307BF5">
              <w:rPr>
                <w:bCs/>
                <w:sz w:val="16"/>
                <w:szCs w:val="16"/>
              </w:rPr>
              <w:t>0,090**</w:t>
            </w:r>
          </w:p>
        </w:tc>
        <w:tc>
          <w:tcPr>
            <w:tcW w:w="1066" w:type="dxa"/>
          </w:tcPr>
          <w:p w14:paraId="779E4107" w14:textId="77777777" w:rsidR="00307BF5" w:rsidRPr="00307BF5" w:rsidRDefault="00307BF5" w:rsidP="008C2249">
            <w:pPr>
              <w:rPr>
                <w:bCs/>
                <w:sz w:val="16"/>
                <w:szCs w:val="16"/>
              </w:rPr>
            </w:pPr>
            <w:r w:rsidRPr="00307BF5">
              <w:rPr>
                <w:bCs/>
                <w:sz w:val="16"/>
                <w:szCs w:val="16"/>
              </w:rPr>
              <w:t>0,072**</w:t>
            </w:r>
          </w:p>
        </w:tc>
        <w:tc>
          <w:tcPr>
            <w:tcW w:w="1066" w:type="dxa"/>
          </w:tcPr>
          <w:p w14:paraId="0D31A9D3" w14:textId="77777777" w:rsidR="00307BF5" w:rsidRPr="00307BF5" w:rsidRDefault="00307BF5" w:rsidP="008C2249">
            <w:pPr>
              <w:rPr>
                <w:bCs/>
                <w:sz w:val="16"/>
                <w:szCs w:val="16"/>
              </w:rPr>
            </w:pPr>
            <w:r w:rsidRPr="00307BF5">
              <w:rPr>
                <w:bCs/>
                <w:sz w:val="16"/>
                <w:szCs w:val="16"/>
              </w:rPr>
              <w:t>0,338</w:t>
            </w:r>
          </w:p>
        </w:tc>
        <w:tc>
          <w:tcPr>
            <w:tcW w:w="1066" w:type="dxa"/>
          </w:tcPr>
          <w:p w14:paraId="454CB5EE" w14:textId="77777777" w:rsidR="00307BF5" w:rsidRPr="00307BF5" w:rsidRDefault="00307BF5" w:rsidP="008C2249">
            <w:pPr>
              <w:rPr>
                <w:bCs/>
                <w:sz w:val="16"/>
                <w:szCs w:val="16"/>
              </w:rPr>
            </w:pPr>
            <w:r w:rsidRPr="00307BF5">
              <w:rPr>
                <w:bCs/>
                <w:sz w:val="16"/>
                <w:szCs w:val="16"/>
              </w:rPr>
              <w:t>0,015*</w:t>
            </w:r>
          </w:p>
        </w:tc>
      </w:tr>
      <w:tr w:rsidR="00307BF5" w:rsidRPr="00307BF5" w14:paraId="03F4B800" w14:textId="77777777" w:rsidTr="008C2249">
        <w:trPr>
          <w:jc w:val="center"/>
        </w:trPr>
        <w:tc>
          <w:tcPr>
            <w:tcW w:w="8437" w:type="dxa"/>
            <w:gridSpan w:val="8"/>
            <w:tcBorders>
              <w:top w:val="single" w:sz="4" w:space="0" w:color="auto"/>
              <w:bottom w:val="nil"/>
            </w:tcBorders>
          </w:tcPr>
          <w:p w14:paraId="447C1489" w14:textId="77777777" w:rsidR="00307BF5" w:rsidRPr="00307BF5" w:rsidRDefault="00307BF5" w:rsidP="008C2249">
            <w:pPr>
              <w:rPr>
                <w:bCs/>
                <w:sz w:val="16"/>
                <w:szCs w:val="16"/>
              </w:rPr>
            </w:pPr>
            <w:r w:rsidRPr="00307BF5">
              <w:rPr>
                <w:bCs/>
                <w:sz w:val="16"/>
                <w:szCs w:val="16"/>
              </w:rPr>
              <w:t>*Significant on α = 0,05</w:t>
            </w:r>
          </w:p>
          <w:p w14:paraId="672C9400" w14:textId="77777777" w:rsidR="00307BF5" w:rsidRPr="00307BF5" w:rsidRDefault="00307BF5" w:rsidP="008C2249">
            <w:pPr>
              <w:rPr>
                <w:bCs/>
                <w:sz w:val="16"/>
                <w:szCs w:val="16"/>
              </w:rPr>
            </w:pPr>
            <w:r w:rsidRPr="00307BF5">
              <w:rPr>
                <w:bCs/>
                <w:sz w:val="16"/>
                <w:szCs w:val="16"/>
              </w:rPr>
              <w:t>**Significant on α = 0,1</w:t>
            </w:r>
          </w:p>
          <w:p w14:paraId="3436A1BD" w14:textId="77777777" w:rsidR="00307BF5" w:rsidRPr="00307BF5" w:rsidRDefault="00307BF5" w:rsidP="008C2249">
            <w:pPr>
              <w:rPr>
                <w:bCs/>
                <w:sz w:val="16"/>
                <w:szCs w:val="16"/>
              </w:rPr>
            </w:pPr>
            <w:proofErr w:type="spellStart"/>
            <w:proofErr w:type="gramStart"/>
            <w:r w:rsidRPr="00307BF5">
              <w:rPr>
                <w:bCs/>
                <w:sz w:val="16"/>
                <w:szCs w:val="16"/>
              </w:rPr>
              <w:t>Sumber</w:t>
            </w:r>
            <w:proofErr w:type="spellEnd"/>
            <w:r w:rsidRPr="00307BF5">
              <w:rPr>
                <w:bCs/>
                <w:sz w:val="16"/>
                <w:szCs w:val="16"/>
              </w:rPr>
              <w:t xml:space="preserve"> :</w:t>
            </w:r>
            <w:proofErr w:type="gramEnd"/>
            <w:r w:rsidRPr="00307BF5">
              <w:rPr>
                <w:bCs/>
                <w:sz w:val="16"/>
                <w:szCs w:val="16"/>
              </w:rPr>
              <w:t xml:space="preserve"> Data </w:t>
            </w:r>
            <w:proofErr w:type="spellStart"/>
            <w:r w:rsidRPr="00307BF5">
              <w:rPr>
                <w:bCs/>
                <w:sz w:val="16"/>
                <w:szCs w:val="16"/>
              </w:rPr>
              <w:t>olahan</w:t>
            </w:r>
            <w:proofErr w:type="spellEnd"/>
            <w:r w:rsidRPr="00307BF5">
              <w:rPr>
                <w:bCs/>
                <w:sz w:val="16"/>
                <w:szCs w:val="16"/>
              </w:rPr>
              <w:t xml:space="preserve">, </w:t>
            </w:r>
            <w:proofErr w:type="spellStart"/>
            <w:r w:rsidRPr="00307BF5">
              <w:rPr>
                <w:bCs/>
                <w:sz w:val="16"/>
                <w:szCs w:val="16"/>
              </w:rPr>
              <w:t>xxxx</w:t>
            </w:r>
            <w:proofErr w:type="spellEnd"/>
          </w:p>
          <w:p w14:paraId="2EE78C0E" w14:textId="77777777" w:rsidR="00307BF5" w:rsidRPr="00307BF5" w:rsidRDefault="00307BF5" w:rsidP="008C2249">
            <w:pPr>
              <w:rPr>
                <w:bCs/>
                <w:sz w:val="16"/>
                <w:szCs w:val="16"/>
              </w:rPr>
            </w:pPr>
          </w:p>
        </w:tc>
      </w:tr>
    </w:tbl>
    <w:p w14:paraId="5E439357" w14:textId="77777777" w:rsidR="00307BF5" w:rsidRDefault="00307BF5" w:rsidP="00307BF5">
      <w:pPr>
        <w:tabs>
          <w:tab w:val="left" w:pos="1440"/>
        </w:tabs>
        <w:spacing w:line="276" w:lineRule="auto"/>
        <w:ind w:left="720" w:hanging="720"/>
        <w:jc w:val="center"/>
        <w:rPr>
          <w:b/>
          <w:color w:val="000000"/>
          <w:szCs w:val="24"/>
        </w:rPr>
      </w:pPr>
      <w:r>
        <w:rPr>
          <w:noProof/>
        </w:rPr>
        <w:drawing>
          <wp:inline distT="0" distB="0" distL="0" distR="0" wp14:anchorId="7A512A45" wp14:editId="142AE00D">
            <wp:extent cx="5181600" cy="2705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786B69" w14:textId="77777777" w:rsidR="00307BF5" w:rsidRPr="00313F53" w:rsidRDefault="00307BF5" w:rsidP="00307BF5">
      <w:pPr>
        <w:spacing w:after="120" w:line="276" w:lineRule="auto"/>
        <w:ind w:left="270"/>
        <w:rPr>
          <w:color w:val="000000"/>
        </w:rPr>
      </w:pPr>
      <w:proofErr w:type="spellStart"/>
      <w:r w:rsidRPr="00313F53">
        <w:rPr>
          <w:color w:val="000000"/>
        </w:rPr>
        <w:t>Sumber</w:t>
      </w:r>
      <w:proofErr w:type="spellEnd"/>
      <w:r w:rsidRPr="00313F53">
        <w:rPr>
          <w:color w:val="000000"/>
        </w:rPr>
        <w:t>: IDX (2012)</w:t>
      </w:r>
    </w:p>
    <w:p w14:paraId="63BD902E" w14:textId="77777777" w:rsidR="00307BF5" w:rsidRPr="00CA41D0" w:rsidRDefault="00307BF5" w:rsidP="00307BF5">
      <w:pPr>
        <w:spacing w:line="276" w:lineRule="auto"/>
        <w:jc w:val="center"/>
      </w:pPr>
      <w:r w:rsidRPr="00CA41D0">
        <w:t xml:space="preserve">Gambar 1. </w:t>
      </w:r>
      <w:proofErr w:type="spellStart"/>
      <w:r w:rsidRPr="00CA41D0">
        <w:t>Tren</w:t>
      </w:r>
      <w:proofErr w:type="spellEnd"/>
      <w:r w:rsidRPr="00CA41D0">
        <w:t xml:space="preserve"> </w:t>
      </w:r>
      <w:proofErr w:type="spellStart"/>
      <w:r w:rsidRPr="00CA41D0">
        <w:t>Indikator</w:t>
      </w:r>
      <w:proofErr w:type="spellEnd"/>
      <w:r w:rsidRPr="00CA41D0">
        <w:t xml:space="preserve"> </w:t>
      </w:r>
      <w:proofErr w:type="spellStart"/>
      <w:r w:rsidRPr="00CA41D0">
        <w:t>Keuangan</w:t>
      </w:r>
      <w:proofErr w:type="spellEnd"/>
    </w:p>
    <w:p w14:paraId="29DFCFC1" w14:textId="77777777" w:rsidR="00307BF5" w:rsidRDefault="00307BF5" w:rsidP="00307BF5">
      <w:pPr>
        <w:jc w:val="both"/>
        <w:rPr>
          <w:lang w:val="id-ID"/>
        </w:rPr>
      </w:pPr>
    </w:p>
    <w:p w14:paraId="02217329" w14:textId="77777777" w:rsidR="006934F8" w:rsidRPr="003D6B19" w:rsidRDefault="006934F8" w:rsidP="006934F8">
      <w:pPr>
        <w:rPr>
          <w:lang w:val="id-ID"/>
        </w:rPr>
      </w:pPr>
    </w:p>
    <w:p w14:paraId="7A07F5E5" w14:textId="43F440AE" w:rsidR="00E619D6" w:rsidRPr="003D6B19" w:rsidRDefault="006934F8" w:rsidP="00E619D6">
      <w:pPr>
        <w:numPr>
          <w:ilvl w:val="0"/>
          <w:numId w:val="15"/>
        </w:numPr>
        <w:tabs>
          <w:tab w:val="left" w:pos="426"/>
        </w:tabs>
        <w:ind w:left="426" w:hanging="426"/>
        <w:rPr>
          <w:b/>
          <w:bCs/>
          <w:lang w:val="id-ID"/>
        </w:rPr>
      </w:pPr>
      <w:r>
        <w:rPr>
          <w:b/>
          <w:bCs/>
        </w:rPr>
        <w:t>KESIMPULAN DAN SARAN</w:t>
      </w:r>
      <w:r w:rsidR="00E619D6" w:rsidRPr="003D6B19">
        <w:rPr>
          <w:b/>
          <w:bCs/>
        </w:rPr>
        <w:t xml:space="preserve"> (10 PT)</w:t>
      </w:r>
    </w:p>
    <w:p w14:paraId="1B388F68" w14:textId="6D9F53C2" w:rsidR="00354A58" w:rsidRPr="003D6B19" w:rsidRDefault="006934F8" w:rsidP="006934F8">
      <w:pPr>
        <w:ind w:firstLine="426"/>
        <w:jc w:val="both"/>
        <w:rPr>
          <w:b/>
          <w:bCs/>
        </w:rPr>
      </w:pPr>
      <w:r w:rsidRPr="006934F8">
        <w:rPr>
          <w:lang w:val="id-ID"/>
        </w:rPr>
        <w:t>Bagian ini menyimpulkan secara singkat hasil dan pembahasan penelitian. Bagian ini juha menjelaskan tentang implikasi hasil, keterbatasan penelitian serta rekomendasi bagi pengembangan penelitian mendatang</w:t>
      </w:r>
    </w:p>
    <w:p w14:paraId="36E078F6" w14:textId="77777777" w:rsidR="00307BF5" w:rsidRPr="003D6B19" w:rsidRDefault="00307BF5" w:rsidP="00E619D6">
      <w:pPr>
        <w:rPr>
          <w:b/>
          <w:bCs/>
        </w:rPr>
      </w:pPr>
    </w:p>
    <w:p w14:paraId="1051C6C2" w14:textId="3B9050B3" w:rsidR="00A0022F" w:rsidRDefault="00E619D6" w:rsidP="00A0022F">
      <w:pPr>
        <w:rPr>
          <w:b/>
          <w:bCs/>
        </w:rPr>
      </w:pPr>
      <w:r w:rsidRPr="003D6B19">
        <w:rPr>
          <w:rStyle w:val="apple-style-span"/>
          <w:b/>
          <w:color w:val="000000"/>
          <w:lang w:val="pt-BR"/>
        </w:rPr>
        <w:t xml:space="preserve">REFERENCES </w:t>
      </w:r>
      <w:r w:rsidRPr="003D6B19">
        <w:rPr>
          <w:b/>
          <w:bCs/>
        </w:rPr>
        <w:t>(10 PT)</w:t>
      </w:r>
    </w:p>
    <w:p w14:paraId="2A74BF44" w14:textId="77777777" w:rsidR="00A0022F" w:rsidRPr="00A0022F" w:rsidRDefault="00A0022F" w:rsidP="00A0022F">
      <w:pPr>
        <w:rPr>
          <w:rStyle w:val="HeadingChar"/>
          <w:rFonts w:cs="Times New Roman"/>
          <w:b w:val="0"/>
          <w:color w:val="000000"/>
          <w:kern w:val="0"/>
          <w:sz w:val="20"/>
          <w:szCs w:val="20"/>
          <w:lang w:val="pt-BR" w:eastAsia="en-US"/>
        </w:rPr>
      </w:pPr>
    </w:p>
    <w:sdt>
      <w:sdtPr>
        <w:rPr>
          <w:rStyle w:val="Maintext"/>
          <w:sz w:val="20"/>
        </w:rPr>
        <w:alias w:val="Main text"/>
        <w:tag w:val="Main text"/>
        <w:id w:val="497082516"/>
        <w:placeholder>
          <w:docPart w:val="2E9881D759DB4A3C92CD54CC72B31CAA"/>
        </w:placeholder>
      </w:sdtPr>
      <w:sdtEndPr>
        <w:rPr>
          <w:rStyle w:val="Style1"/>
          <w:b/>
        </w:rPr>
      </w:sdtEndPr>
      <w:sdtContent>
        <w:p w14:paraId="1A9F734C" w14:textId="77777777" w:rsidR="00A0022F" w:rsidRPr="00A0022F" w:rsidRDefault="00A0022F" w:rsidP="00A0022F">
          <w:pPr>
            <w:jc w:val="both"/>
            <w:rPr>
              <w:color w:val="000000"/>
              <w:lang w:val="id-ID"/>
            </w:rPr>
          </w:pPr>
          <w:r w:rsidRPr="00A0022F">
            <w:rPr>
              <w:color w:val="000000"/>
              <w:lang w:val="id-ID"/>
            </w:rPr>
            <w:t>Kutipan dan referensi harus mengikuti gaya APA. Referensi harus berhubungan hanya dengan konten yang dikutip dalam teks naskah</w:t>
          </w:r>
        </w:p>
        <w:p w14:paraId="6BDA1BCB" w14:textId="727821FB" w:rsidR="00A0022F" w:rsidRPr="00A0022F" w:rsidRDefault="00A0022F" w:rsidP="00A0022F">
          <w:pPr>
            <w:pStyle w:val="ListParagraph"/>
            <w:numPr>
              <w:ilvl w:val="0"/>
              <w:numId w:val="24"/>
            </w:numPr>
            <w:spacing w:after="0"/>
            <w:ind w:left="426"/>
            <w:jc w:val="both"/>
            <w:rPr>
              <w:rFonts w:ascii="Times New Roman" w:hAnsi="Times New Roman"/>
              <w:color w:val="000000"/>
              <w:sz w:val="20"/>
              <w:szCs w:val="20"/>
              <w:lang w:val="id-ID"/>
            </w:rPr>
          </w:pPr>
          <w:r w:rsidRPr="00A0022F">
            <w:rPr>
              <w:rFonts w:ascii="Times New Roman" w:hAnsi="Times New Roman"/>
              <w:color w:val="000000"/>
              <w:sz w:val="20"/>
              <w:szCs w:val="20"/>
              <w:lang w:val="id-ID" w:eastAsia="en-US"/>
            </w:rPr>
            <w:t>Referensi</w:t>
          </w:r>
          <w:r w:rsidRPr="00A0022F">
            <w:rPr>
              <w:rFonts w:ascii="Times New Roman" w:hAnsi="Times New Roman"/>
              <w:color w:val="000000"/>
              <w:sz w:val="20"/>
              <w:szCs w:val="20"/>
              <w:lang w:val="id-ID"/>
            </w:rPr>
            <w:t xml:space="preserve"> mengacu pada Gaya APA (American Psychological Association 6th Style)</w:t>
          </w:r>
        </w:p>
        <w:p w14:paraId="29693242" w14:textId="14A6FA36" w:rsidR="00A0022F" w:rsidRPr="00A0022F" w:rsidRDefault="00A0022F" w:rsidP="00A0022F">
          <w:pPr>
            <w:pStyle w:val="ListParagraph"/>
            <w:numPr>
              <w:ilvl w:val="0"/>
              <w:numId w:val="24"/>
            </w:numPr>
            <w:spacing w:after="0"/>
            <w:ind w:left="426"/>
            <w:jc w:val="both"/>
            <w:rPr>
              <w:rFonts w:ascii="Times New Roman" w:hAnsi="Times New Roman"/>
              <w:color w:val="000000"/>
              <w:sz w:val="20"/>
              <w:szCs w:val="20"/>
              <w:lang w:val="id-ID" w:eastAsia="en-US"/>
            </w:rPr>
          </w:pPr>
          <w:r w:rsidRPr="00A0022F">
            <w:rPr>
              <w:rFonts w:ascii="Times New Roman" w:hAnsi="Times New Roman"/>
              <w:color w:val="000000"/>
              <w:sz w:val="20"/>
              <w:szCs w:val="20"/>
              <w:lang w:val="id-ID" w:eastAsia="en-US"/>
            </w:rPr>
            <w:t xml:space="preserve">80% </w:t>
          </w:r>
          <w:proofErr w:type="spellStart"/>
          <w:r>
            <w:rPr>
              <w:rFonts w:ascii="Times New Roman" w:hAnsi="Times New Roman"/>
              <w:color w:val="000000"/>
              <w:sz w:val="20"/>
              <w:szCs w:val="20"/>
              <w:lang w:val="en-US" w:eastAsia="en-US"/>
            </w:rPr>
            <w:t>merupakan</w:t>
          </w:r>
          <w:proofErr w:type="spellEnd"/>
          <w:r>
            <w:rPr>
              <w:rFonts w:ascii="Times New Roman" w:hAnsi="Times New Roman"/>
              <w:color w:val="000000"/>
              <w:sz w:val="20"/>
              <w:szCs w:val="20"/>
              <w:lang w:val="en-US" w:eastAsia="en-US"/>
            </w:rPr>
            <w:t xml:space="preserve"> </w:t>
          </w:r>
          <w:r w:rsidRPr="00A0022F">
            <w:rPr>
              <w:rFonts w:ascii="Times New Roman" w:hAnsi="Times New Roman"/>
              <w:color w:val="000000"/>
              <w:sz w:val="20"/>
              <w:szCs w:val="20"/>
              <w:lang w:val="id-ID" w:eastAsia="en-US"/>
            </w:rPr>
            <w:t>referensi</w:t>
          </w:r>
          <w:r>
            <w:rPr>
              <w:rFonts w:ascii="Times New Roman" w:hAnsi="Times New Roman"/>
              <w:color w:val="000000"/>
              <w:sz w:val="20"/>
              <w:szCs w:val="20"/>
              <w:lang w:val="en-US" w:eastAsia="en-US"/>
            </w:rPr>
            <w:t xml:space="preserve"> </w:t>
          </w:r>
          <w:r w:rsidRPr="00A0022F">
            <w:rPr>
              <w:rFonts w:ascii="Times New Roman" w:hAnsi="Times New Roman"/>
              <w:color w:val="000000"/>
              <w:sz w:val="20"/>
              <w:szCs w:val="20"/>
              <w:lang w:val="id-ID" w:eastAsia="en-US"/>
            </w:rPr>
            <w:t xml:space="preserve"> </w:t>
          </w:r>
          <w:r>
            <w:rPr>
              <w:rFonts w:ascii="Times New Roman" w:hAnsi="Times New Roman"/>
              <w:color w:val="000000"/>
              <w:sz w:val="20"/>
              <w:szCs w:val="20"/>
              <w:lang w:val="en-US" w:eastAsia="en-US"/>
            </w:rPr>
            <w:t>5</w:t>
          </w:r>
          <w:r w:rsidRPr="00A0022F">
            <w:rPr>
              <w:rFonts w:ascii="Times New Roman" w:hAnsi="Times New Roman"/>
              <w:color w:val="000000"/>
              <w:sz w:val="20"/>
              <w:szCs w:val="20"/>
              <w:lang w:val="id-ID" w:eastAsia="en-US"/>
            </w:rPr>
            <w:t>-1</w:t>
          </w:r>
          <w:r>
            <w:rPr>
              <w:rFonts w:ascii="Times New Roman" w:hAnsi="Times New Roman"/>
              <w:color w:val="000000"/>
              <w:sz w:val="20"/>
              <w:szCs w:val="20"/>
              <w:lang w:val="en-US" w:eastAsia="en-US"/>
            </w:rPr>
            <w:t>0</w:t>
          </w:r>
          <w:r w:rsidRPr="00A0022F">
            <w:rPr>
              <w:rFonts w:ascii="Times New Roman" w:hAnsi="Times New Roman"/>
              <w:color w:val="000000"/>
              <w:sz w:val="20"/>
              <w:szCs w:val="20"/>
              <w:lang w:val="id-ID" w:eastAsia="en-US"/>
            </w:rPr>
            <w:t xml:space="preserve"> tahun</w:t>
          </w:r>
          <w:r>
            <w:rPr>
              <w:rFonts w:ascii="Times New Roman" w:hAnsi="Times New Roman"/>
              <w:color w:val="000000"/>
              <w:sz w:val="20"/>
              <w:szCs w:val="20"/>
              <w:lang w:val="en-US" w:eastAsia="en-US"/>
            </w:rPr>
            <w:t xml:space="preserve"> </w:t>
          </w:r>
          <w:proofErr w:type="spellStart"/>
          <w:r>
            <w:rPr>
              <w:rFonts w:ascii="Times New Roman" w:hAnsi="Times New Roman"/>
              <w:color w:val="000000"/>
              <w:sz w:val="20"/>
              <w:szCs w:val="20"/>
              <w:lang w:val="en-US" w:eastAsia="en-US"/>
            </w:rPr>
            <w:t>terakhir</w:t>
          </w:r>
          <w:proofErr w:type="spellEnd"/>
        </w:p>
        <w:p w14:paraId="43B9DD07" w14:textId="312DF9EF" w:rsidR="00A0022F" w:rsidRPr="00A0022F" w:rsidRDefault="00A0022F" w:rsidP="00A0022F">
          <w:pPr>
            <w:pStyle w:val="ListParagraph"/>
            <w:numPr>
              <w:ilvl w:val="0"/>
              <w:numId w:val="24"/>
            </w:numPr>
            <w:spacing w:after="0"/>
            <w:ind w:left="426"/>
            <w:jc w:val="both"/>
            <w:rPr>
              <w:rFonts w:ascii="Times New Roman" w:hAnsi="Times New Roman"/>
              <w:color w:val="000000"/>
              <w:sz w:val="20"/>
              <w:szCs w:val="20"/>
              <w:lang w:val="id-ID" w:eastAsia="en-US"/>
            </w:rPr>
          </w:pPr>
          <w:r w:rsidRPr="00A0022F">
            <w:rPr>
              <w:rFonts w:ascii="Times New Roman" w:hAnsi="Times New Roman"/>
              <w:color w:val="000000"/>
              <w:sz w:val="20"/>
              <w:szCs w:val="20"/>
              <w:lang w:val="id-ID" w:eastAsia="en-US"/>
            </w:rPr>
            <w:lastRenderedPageBreak/>
            <w:t>Sekitar 80% sumber primer (artikel jurnal, artikel majalah, Artikel Koran, Statuta, Laporan, artikel ensiklopedia), dan 20% sumber sekunder (buku, halaman web)</w:t>
          </w:r>
        </w:p>
        <w:p w14:paraId="64FA05B7" w14:textId="61C251FD" w:rsidR="00A0022F" w:rsidRPr="00307BF5" w:rsidRDefault="00A0022F" w:rsidP="00ED723C">
          <w:pPr>
            <w:pStyle w:val="ListParagraph"/>
            <w:numPr>
              <w:ilvl w:val="0"/>
              <w:numId w:val="24"/>
            </w:numPr>
            <w:spacing w:after="0" w:line="240" w:lineRule="auto"/>
            <w:ind w:left="426"/>
            <w:jc w:val="both"/>
            <w:rPr>
              <w:rFonts w:ascii="Times New Roman" w:hAnsi="Times New Roman"/>
              <w:sz w:val="20"/>
              <w:szCs w:val="20"/>
            </w:rPr>
          </w:pPr>
          <w:r w:rsidRPr="00307BF5">
            <w:rPr>
              <w:rFonts w:ascii="Times New Roman" w:hAnsi="Times New Roman"/>
              <w:color w:val="000000"/>
              <w:sz w:val="20"/>
              <w:szCs w:val="20"/>
              <w:lang w:val="id-ID" w:eastAsia="en-US"/>
            </w:rPr>
            <w:t>Gunakan perangkat lunak manajemen referensi seperti MENDELEY</w:t>
          </w:r>
        </w:p>
        <w:tbl>
          <w:tblPr>
            <w:tblW w:w="9039" w:type="dxa"/>
            <w:tblLook w:val="04A0" w:firstRow="1" w:lastRow="0" w:firstColumn="1" w:lastColumn="0" w:noHBand="0" w:noVBand="1"/>
          </w:tblPr>
          <w:tblGrid>
            <w:gridCol w:w="1809"/>
            <w:gridCol w:w="301"/>
            <w:gridCol w:w="30"/>
            <w:gridCol w:w="6899"/>
          </w:tblGrid>
          <w:tr w:rsidR="00A0022F" w:rsidRPr="00A0022F" w14:paraId="51379462" w14:textId="77777777" w:rsidTr="008C2249">
            <w:tc>
              <w:tcPr>
                <w:tcW w:w="9039" w:type="dxa"/>
                <w:gridSpan w:val="4"/>
                <w:shd w:val="clear" w:color="auto" w:fill="D9D9D9"/>
              </w:tcPr>
              <w:p w14:paraId="0C4BC0FE" w14:textId="77777777" w:rsidR="00A0022F" w:rsidRPr="00A0022F" w:rsidRDefault="00A0022F" w:rsidP="008C2249">
                <w:pPr>
                  <w:pStyle w:val="Default"/>
                  <w:spacing w:after="80"/>
                  <w:rPr>
                    <w:rFonts w:cs="Times New Roman"/>
                    <w:b/>
                    <w:iCs/>
                    <w:sz w:val="20"/>
                    <w:szCs w:val="20"/>
                    <w:lang w:val="id-ID"/>
                  </w:rPr>
                </w:pPr>
                <w:r w:rsidRPr="00A0022F">
                  <w:rPr>
                    <w:rFonts w:cs="Times New Roman"/>
                    <w:b/>
                    <w:iCs/>
                    <w:sz w:val="20"/>
                    <w:szCs w:val="20"/>
                    <w:lang w:val="id-ID"/>
                  </w:rPr>
                  <w:t>Book with 1 author</w:t>
                </w:r>
              </w:p>
            </w:tc>
          </w:tr>
          <w:tr w:rsidR="00A0022F" w:rsidRPr="00A0022F" w14:paraId="5C23E25D" w14:textId="77777777" w:rsidTr="008C2249">
            <w:tc>
              <w:tcPr>
                <w:tcW w:w="1809" w:type="dxa"/>
                <w:shd w:val="clear" w:color="auto" w:fill="auto"/>
              </w:tcPr>
              <w:p w14:paraId="5C4451B6"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31" w:type="dxa"/>
                <w:gridSpan w:val="2"/>
                <w:shd w:val="clear" w:color="auto" w:fill="auto"/>
              </w:tcPr>
              <w:p w14:paraId="43FF925A" w14:textId="77777777" w:rsidR="00A0022F" w:rsidRPr="00A0022F" w:rsidRDefault="00A0022F" w:rsidP="008C2249">
                <w:pPr>
                  <w:pStyle w:val="Default"/>
                  <w:spacing w:after="80"/>
                  <w:rPr>
                    <w:rFonts w:cs="Times New Roman"/>
                    <w:iCs/>
                    <w:sz w:val="20"/>
                    <w:szCs w:val="20"/>
                    <w:lang w:val="id-ID"/>
                  </w:rPr>
                </w:pPr>
                <w:r w:rsidRPr="00A0022F">
                  <w:rPr>
                    <w:rFonts w:cs="Times New Roman"/>
                    <w:iCs/>
                    <w:sz w:val="20"/>
                    <w:szCs w:val="20"/>
                    <w:lang w:val="id-ID"/>
                  </w:rPr>
                  <w:t>:</w:t>
                </w:r>
              </w:p>
            </w:tc>
            <w:tc>
              <w:tcPr>
                <w:tcW w:w="6899" w:type="dxa"/>
                <w:shd w:val="clear" w:color="auto" w:fill="auto"/>
              </w:tcPr>
              <w:p w14:paraId="3E9E5B5D"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(MacDonald, 2007)</w:t>
                </w:r>
              </w:p>
            </w:tc>
          </w:tr>
          <w:tr w:rsidR="00A0022F" w:rsidRPr="00A0022F" w14:paraId="076DE74C" w14:textId="77777777" w:rsidTr="008C2249">
            <w:tc>
              <w:tcPr>
                <w:tcW w:w="1809" w:type="dxa"/>
                <w:shd w:val="clear" w:color="auto" w:fill="auto"/>
              </w:tcPr>
              <w:p w14:paraId="67AFF2FB"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31" w:type="dxa"/>
                <w:gridSpan w:val="2"/>
                <w:shd w:val="clear" w:color="auto" w:fill="auto"/>
              </w:tcPr>
              <w:p w14:paraId="64098848" w14:textId="77777777" w:rsidR="00A0022F" w:rsidRPr="00A0022F" w:rsidRDefault="00A0022F" w:rsidP="008C2249">
                <w:pPr>
                  <w:pStyle w:val="Default"/>
                  <w:spacing w:after="80"/>
                  <w:rPr>
                    <w:rFonts w:cs="Times New Roman"/>
                    <w:i/>
                    <w:iCs/>
                    <w:sz w:val="20"/>
                    <w:szCs w:val="20"/>
                    <w:lang w:val="id-ID"/>
                  </w:rPr>
                </w:pPr>
                <w:r w:rsidRPr="00A0022F">
                  <w:rPr>
                    <w:rFonts w:cs="Times New Roman"/>
                    <w:iCs/>
                    <w:sz w:val="20"/>
                    <w:szCs w:val="20"/>
                    <w:lang w:val="id-ID"/>
                  </w:rPr>
                  <w:t>:</w:t>
                </w:r>
              </w:p>
            </w:tc>
            <w:tc>
              <w:tcPr>
                <w:tcW w:w="6899" w:type="dxa"/>
                <w:shd w:val="clear" w:color="auto" w:fill="auto"/>
              </w:tcPr>
              <w:p w14:paraId="5CBE3115"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MacDonald, R.G. (2007). </w:t>
                </w:r>
                <w:r w:rsidRPr="00A0022F">
                  <w:rPr>
                    <w:rStyle w:val="Emphasis"/>
                    <w:rFonts w:cs="Times New Roman"/>
                    <w:sz w:val="20"/>
                    <w:szCs w:val="20"/>
                  </w:rPr>
                  <w:t>Biochemistry</w:t>
                </w:r>
                <w:r w:rsidRPr="00A0022F">
                  <w:rPr>
                    <w:rFonts w:cs="Times New Roman"/>
                    <w:sz w:val="20"/>
                    <w:szCs w:val="20"/>
                  </w:rPr>
                  <w:t>. New York, NY: McGraw Hill.</w:t>
                </w:r>
              </w:p>
            </w:tc>
          </w:tr>
          <w:tr w:rsidR="00A0022F" w:rsidRPr="00A0022F" w14:paraId="56FEC3F3" w14:textId="77777777" w:rsidTr="008C2249">
            <w:tc>
              <w:tcPr>
                <w:tcW w:w="9039" w:type="dxa"/>
                <w:gridSpan w:val="4"/>
                <w:shd w:val="clear" w:color="auto" w:fill="D9D9D9"/>
              </w:tcPr>
              <w:p w14:paraId="1E4EFAF8"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Book with 2 authors  </w:t>
                </w:r>
              </w:p>
            </w:tc>
          </w:tr>
          <w:tr w:rsidR="00A0022F" w:rsidRPr="00A0022F" w14:paraId="150A3743" w14:textId="77777777" w:rsidTr="008C2249">
            <w:tc>
              <w:tcPr>
                <w:tcW w:w="1809" w:type="dxa"/>
                <w:shd w:val="clear" w:color="auto" w:fill="auto"/>
              </w:tcPr>
              <w:p w14:paraId="06B0228A"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2E29B2C5"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10BBF09B"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(McKee &amp; McKee, 2009).</w:t>
                </w:r>
              </w:p>
            </w:tc>
          </w:tr>
          <w:tr w:rsidR="00A0022F" w:rsidRPr="00A0022F" w14:paraId="22D08842" w14:textId="77777777" w:rsidTr="008C2249">
            <w:tc>
              <w:tcPr>
                <w:tcW w:w="1809" w:type="dxa"/>
                <w:shd w:val="clear" w:color="auto" w:fill="auto"/>
              </w:tcPr>
              <w:p w14:paraId="43F6CDB8"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E3EF783"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00AA5D78"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McKee, T. &amp; McKee, J.R. (2009). </w:t>
                </w:r>
                <w:r w:rsidRPr="00A0022F">
                  <w:rPr>
                    <w:rStyle w:val="Emphasis"/>
                    <w:rFonts w:cs="Times New Roman"/>
                    <w:sz w:val="20"/>
                    <w:szCs w:val="20"/>
                  </w:rPr>
                  <w:t>Business ethics: The moral basis of commerce</w:t>
                </w:r>
                <w:r w:rsidRPr="00A0022F">
                  <w:rPr>
                    <w:rFonts w:cs="Times New Roman"/>
                    <w:sz w:val="20"/>
                    <w:szCs w:val="20"/>
                  </w:rPr>
                  <w:t xml:space="preserve"> (4th ed.). New York, NY: Oxford University Press.</w:t>
                </w:r>
              </w:p>
            </w:tc>
          </w:tr>
          <w:tr w:rsidR="00A0022F" w:rsidRPr="00A0022F" w14:paraId="0EFF80E5" w14:textId="77777777" w:rsidTr="008C2249">
            <w:tc>
              <w:tcPr>
                <w:tcW w:w="9039" w:type="dxa"/>
                <w:gridSpan w:val="4"/>
                <w:shd w:val="clear" w:color="auto" w:fill="D9D9D9"/>
              </w:tcPr>
              <w:p w14:paraId="35080047"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Book with 3-6 authors</w:t>
                </w:r>
              </w:p>
            </w:tc>
          </w:tr>
          <w:tr w:rsidR="00A0022F" w:rsidRPr="00A0022F" w14:paraId="000EF651" w14:textId="77777777" w:rsidTr="008C2249">
            <w:tc>
              <w:tcPr>
                <w:tcW w:w="1809" w:type="dxa"/>
                <w:shd w:val="clear" w:color="auto" w:fill="auto"/>
              </w:tcPr>
              <w:p w14:paraId="7B008BE5"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5F03C950"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2F4EE0B3"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(James et al., 2005).</w:t>
                </w:r>
              </w:p>
            </w:tc>
          </w:tr>
          <w:tr w:rsidR="00A0022F" w:rsidRPr="00A0022F" w14:paraId="4C791056" w14:textId="77777777" w:rsidTr="008C2249">
            <w:tc>
              <w:tcPr>
                <w:tcW w:w="1809" w:type="dxa"/>
                <w:shd w:val="clear" w:color="auto" w:fill="auto"/>
              </w:tcPr>
              <w:p w14:paraId="590C393F"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44FD0C17"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3AC5AC8A" w14:textId="77777777" w:rsidR="00A0022F" w:rsidRPr="00A0022F" w:rsidRDefault="00A0022F" w:rsidP="008C2249">
                <w:pPr>
                  <w:pStyle w:val="Default"/>
                  <w:spacing w:after="80"/>
                  <w:rPr>
                    <w:rFonts w:cs="Times New Roman"/>
                    <w:sz w:val="20"/>
                    <w:szCs w:val="20"/>
                  </w:rPr>
                </w:pPr>
                <w:r w:rsidRPr="00A0022F">
                  <w:rPr>
                    <w:rFonts w:cs="Times New Roman"/>
                    <w:sz w:val="20"/>
                    <w:szCs w:val="20"/>
                  </w:rPr>
                  <w:t xml:space="preserve">James, C., Cameron, P. D., Smith, Y. N., Hawthorne, H., &amp; Cushing, S., M. (2005). </w:t>
                </w:r>
                <w:r w:rsidRPr="00A0022F">
                  <w:rPr>
                    <w:rStyle w:val="Emphasis"/>
                    <w:rFonts w:cs="Times New Roman"/>
                    <w:sz w:val="20"/>
                    <w:szCs w:val="20"/>
                  </w:rPr>
                  <w:t xml:space="preserve">The sociological theory of people and places. </w:t>
                </w:r>
                <w:r w:rsidRPr="00A0022F">
                  <w:rPr>
                    <w:rFonts w:cs="Times New Roman"/>
                    <w:sz w:val="20"/>
                    <w:szCs w:val="20"/>
                  </w:rPr>
                  <w:t>New York, NY: Oxford University Press.</w:t>
                </w:r>
              </w:p>
            </w:tc>
          </w:tr>
          <w:tr w:rsidR="00A0022F" w:rsidRPr="00A0022F" w14:paraId="1FF0C057" w14:textId="77777777" w:rsidTr="008C2249">
            <w:tc>
              <w:tcPr>
                <w:tcW w:w="9039" w:type="dxa"/>
                <w:gridSpan w:val="4"/>
                <w:shd w:val="clear" w:color="auto" w:fill="D9D9D9"/>
              </w:tcPr>
              <w:p w14:paraId="5B7483CA" w14:textId="77777777" w:rsidR="00A0022F" w:rsidRPr="00A0022F" w:rsidRDefault="00A0022F" w:rsidP="008C2249">
                <w:pPr>
                  <w:pStyle w:val="Default"/>
                  <w:spacing w:after="80"/>
                  <w:rPr>
                    <w:rFonts w:cs="Times New Roman"/>
                    <w:b/>
                    <w:sz w:val="20"/>
                    <w:szCs w:val="20"/>
                  </w:rPr>
                </w:pPr>
                <w:r w:rsidRPr="00A0022F">
                  <w:rPr>
                    <w:rFonts w:cs="Times New Roman"/>
                    <w:b/>
                    <w:sz w:val="20"/>
                    <w:szCs w:val="20"/>
                  </w:rPr>
                  <w:t>Article from a print journal (no DOI)</w:t>
                </w:r>
              </w:p>
            </w:tc>
          </w:tr>
          <w:tr w:rsidR="00A0022F" w:rsidRPr="00A0022F" w14:paraId="479B950C" w14:textId="77777777" w:rsidTr="008C2249">
            <w:tc>
              <w:tcPr>
                <w:tcW w:w="1809" w:type="dxa"/>
                <w:shd w:val="clear" w:color="auto" w:fill="auto"/>
              </w:tcPr>
              <w:p w14:paraId="720F88EB"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59048BDE"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1E769E17"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(Marshall &amp; Clark, 2010).</w:t>
                </w:r>
              </w:p>
            </w:tc>
          </w:tr>
          <w:tr w:rsidR="00A0022F" w:rsidRPr="00A0022F" w14:paraId="37FBA4FB" w14:textId="77777777" w:rsidTr="008C2249">
            <w:tc>
              <w:tcPr>
                <w:tcW w:w="1809" w:type="dxa"/>
                <w:shd w:val="clear" w:color="auto" w:fill="auto"/>
              </w:tcPr>
              <w:p w14:paraId="36B1CC25"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5DF178AA"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13AEE7B4" w14:textId="77777777" w:rsidR="00A0022F" w:rsidRPr="00A0022F" w:rsidRDefault="00A0022F" w:rsidP="008C2249">
                <w:pPr>
                  <w:pStyle w:val="Default"/>
                  <w:spacing w:after="80"/>
                  <w:rPr>
                    <w:rFonts w:cs="Times New Roman"/>
                    <w:sz w:val="20"/>
                    <w:szCs w:val="20"/>
                  </w:rPr>
                </w:pPr>
                <w:r w:rsidRPr="00A0022F">
                  <w:rPr>
                    <w:rFonts w:cs="Times New Roman"/>
                    <w:sz w:val="20"/>
                    <w:szCs w:val="20"/>
                  </w:rPr>
                  <w:t xml:space="preserve">Marshall, M. &amp; Clark, A. M. (2010). Is clarity essential to good teaching? </w:t>
                </w:r>
                <w:r w:rsidRPr="00A0022F">
                  <w:rPr>
                    <w:rStyle w:val="Emphasis"/>
                    <w:rFonts w:cs="Times New Roman"/>
                    <w:sz w:val="20"/>
                    <w:szCs w:val="20"/>
                  </w:rPr>
                  <w:t>Teaching Philosophy, 33</w:t>
                </w:r>
                <w:r w:rsidRPr="00A0022F">
                  <w:rPr>
                    <w:rFonts w:cs="Times New Roman"/>
                    <w:sz w:val="20"/>
                    <w:szCs w:val="20"/>
                  </w:rPr>
                  <w:t>(3), 271-289.</w:t>
                </w:r>
              </w:p>
            </w:tc>
          </w:tr>
          <w:tr w:rsidR="00A0022F" w:rsidRPr="00A0022F" w14:paraId="1042130C" w14:textId="77777777" w:rsidTr="008C2249">
            <w:tc>
              <w:tcPr>
                <w:tcW w:w="9039" w:type="dxa"/>
                <w:gridSpan w:val="4"/>
                <w:shd w:val="clear" w:color="auto" w:fill="D9D9D9"/>
              </w:tcPr>
              <w:p w14:paraId="4BF4FAB0" w14:textId="77777777" w:rsidR="00A0022F" w:rsidRPr="00A0022F" w:rsidRDefault="00A0022F" w:rsidP="008C2249">
                <w:pPr>
                  <w:spacing w:after="80"/>
                  <w:rPr>
                    <w:b/>
                  </w:rPr>
                </w:pPr>
                <w:r w:rsidRPr="00A0022F">
                  <w:rPr>
                    <w:b/>
                  </w:rPr>
                  <w:t>Article from a print journal (with DOI)</w:t>
                </w:r>
              </w:p>
            </w:tc>
          </w:tr>
          <w:tr w:rsidR="00A0022F" w:rsidRPr="00A0022F" w14:paraId="004E97F6" w14:textId="77777777" w:rsidTr="008C2249">
            <w:tc>
              <w:tcPr>
                <w:tcW w:w="1809" w:type="dxa"/>
                <w:shd w:val="clear" w:color="auto" w:fill="auto"/>
              </w:tcPr>
              <w:p w14:paraId="51E1766B"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5188D683"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099A5229" w14:textId="77777777" w:rsidR="00A0022F" w:rsidRPr="00A0022F" w:rsidRDefault="00A0022F" w:rsidP="008C2249">
                <w:pPr>
                  <w:spacing w:after="80"/>
                </w:pPr>
                <w:r w:rsidRPr="00A0022F">
                  <w:t>(Chaffee &amp; Weston, 2010).</w:t>
                </w:r>
              </w:p>
            </w:tc>
          </w:tr>
          <w:tr w:rsidR="00A0022F" w:rsidRPr="00A0022F" w14:paraId="500E0E23" w14:textId="77777777" w:rsidTr="008C2249">
            <w:tc>
              <w:tcPr>
                <w:tcW w:w="1809" w:type="dxa"/>
                <w:shd w:val="clear" w:color="auto" w:fill="auto"/>
              </w:tcPr>
              <w:p w14:paraId="62285A28"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4117ADAA"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446E21A8" w14:textId="77777777" w:rsidR="00A0022F" w:rsidRPr="00A0022F" w:rsidRDefault="00A0022F" w:rsidP="008C2249">
                <w:pPr>
                  <w:spacing w:after="80"/>
                </w:pPr>
                <w:r w:rsidRPr="00A0022F">
                  <w:t>Chaffe</w:t>
                </w:r>
                <w:r w:rsidRPr="00A0022F">
                  <w:rPr>
                    <w:color w:val="000000"/>
                  </w:rPr>
                  <w:t xml:space="preserve">e, B. W. &amp; Weston, S. J. (2010). Association between chronic periodontal disease and obesity: A systematic review and meta-analysis. </w:t>
                </w:r>
                <w:r w:rsidRPr="00A0022F">
                  <w:rPr>
                    <w:rStyle w:val="Emphasis"/>
                    <w:color w:val="000000"/>
                  </w:rPr>
                  <w:t>Journal of Periodontology, 81</w:t>
                </w:r>
                <w:r w:rsidRPr="00A0022F">
                  <w:rPr>
                    <w:color w:val="000000"/>
                  </w:rPr>
                  <w:t xml:space="preserve">(12), 1708-1724. </w:t>
                </w:r>
                <w:proofErr w:type="spellStart"/>
                <w:r w:rsidRPr="00A0022F">
                  <w:rPr>
                    <w:color w:val="000000"/>
                  </w:rPr>
                  <w:t>doi</w:t>
                </w:r>
                <w:proofErr w:type="spellEnd"/>
                <w:r w:rsidRPr="00A0022F">
                  <w:rPr>
                    <w:color w:val="000000"/>
                  </w:rPr>
                  <w:t>: 10.1902/jop.2010.100321</w:t>
                </w:r>
              </w:p>
            </w:tc>
          </w:tr>
          <w:tr w:rsidR="00A0022F" w:rsidRPr="00A0022F" w14:paraId="4BC0E4FC" w14:textId="77777777" w:rsidTr="008C2249">
            <w:tc>
              <w:tcPr>
                <w:tcW w:w="9039" w:type="dxa"/>
                <w:gridSpan w:val="4"/>
                <w:shd w:val="clear" w:color="auto" w:fill="D9D9D9"/>
              </w:tcPr>
              <w:p w14:paraId="464121F7"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Article from a print magazine</w:t>
                </w:r>
              </w:p>
            </w:tc>
          </w:tr>
          <w:tr w:rsidR="00A0022F" w:rsidRPr="00A0022F" w14:paraId="754C6E41" w14:textId="77777777" w:rsidTr="008C2249">
            <w:tc>
              <w:tcPr>
                <w:tcW w:w="1809" w:type="dxa"/>
                <w:shd w:val="clear" w:color="auto" w:fill="auto"/>
              </w:tcPr>
              <w:p w14:paraId="421D72BC"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7EC7724E"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44791CA3"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w:t>
                </w:r>
                <w:proofErr w:type="spellStart"/>
                <w:r w:rsidRPr="00A0022F">
                  <w:rPr>
                    <w:rFonts w:cs="Times New Roman"/>
                    <w:sz w:val="20"/>
                    <w:szCs w:val="20"/>
                  </w:rPr>
                  <w:t>Markels</w:t>
                </w:r>
                <w:proofErr w:type="spellEnd"/>
                <w:r w:rsidRPr="00A0022F">
                  <w:rPr>
                    <w:rFonts w:cs="Times New Roman"/>
                    <w:sz w:val="20"/>
                    <w:szCs w:val="20"/>
                  </w:rPr>
                  <w:t>, 2007).</w:t>
                </w:r>
              </w:p>
            </w:tc>
          </w:tr>
          <w:tr w:rsidR="00A0022F" w:rsidRPr="00A0022F" w14:paraId="131FDB72" w14:textId="77777777" w:rsidTr="008C2249">
            <w:tc>
              <w:tcPr>
                <w:tcW w:w="1809" w:type="dxa"/>
                <w:shd w:val="clear" w:color="auto" w:fill="auto"/>
              </w:tcPr>
              <w:p w14:paraId="102EBA0A"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BA3C003"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040A1DA4" w14:textId="5D49E50E" w:rsidR="00307BF5" w:rsidRPr="00307BF5" w:rsidRDefault="00A0022F" w:rsidP="008C2249">
                <w:pPr>
                  <w:pStyle w:val="NormalWeb"/>
                  <w:spacing w:before="0" w:beforeAutospacing="0" w:after="80" w:afterAutospacing="0"/>
                  <w:rPr>
                    <w:color w:val="000000"/>
                    <w:sz w:val="20"/>
                    <w:szCs w:val="20"/>
                  </w:rPr>
                </w:pPr>
                <w:proofErr w:type="spellStart"/>
                <w:r w:rsidRPr="00A0022F">
                  <w:rPr>
                    <w:color w:val="000000"/>
                    <w:sz w:val="20"/>
                    <w:szCs w:val="20"/>
                  </w:rPr>
                  <w:t>Markels</w:t>
                </w:r>
                <w:proofErr w:type="spellEnd"/>
                <w:r w:rsidRPr="00A0022F">
                  <w:rPr>
                    <w:color w:val="000000"/>
                    <w:sz w:val="20"/>
                    <w:szCs w:val="20"/>
                  </w:rPr>
                  <w:t xml:space="preserve">, A. (2007, July 23-30). Taking credit's temperature: Risky home loans run a fever, and the market prays it doesn't spread. </w:t>
                </w:r>
                <w:r w:rsidRPr="00A0022F">
                  <w:rPr>
                    <w:rStyle w:val="Emphasis"/>
                    <w:color w:val="000000"/>
                    <w:sz w:val="20"/>
                    <w:szCs w:val="20"/>
                  </w:rPr>
                  <w:t>U.S. News &amp; World Report, 143</w:t>
                </w:r>
                <w:r w:rsidRPr="00A0022F">
                  <w:rPr>
                    <w:color w:val="000000"/>
                    <w:sz w:val="20"/>
                    <w:szCs w:val="20"/>
                  </w:rPr>
                  <w:t>(3), 37-39.</w:t>
                </w:r>
              </w:p>
            </w:tc>
          </w:tr>
          <w:tr w:rsidR="00A0022F" w:rsidRPr="00A0022F" w14:paraId="50AA1D3F" w14:textId="77777777" w:rsidTr="008C2249">
            <w:tc>
              <w:tcPr>
                <w:tcW w:w="9039" w:type="dxa"/>
                <w:gridSpan w:val="4"/>
                <w:shd w:val="clear" w:color="auto" w:fill="D9D9D9"/>
              </w:tcPr>
              <w:p w14:paraId="4832671A"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Magazine article from the Internet (freely available)</w:t>
                </w:r>
              </w:p>
            </w:tc>
          </w:tr>
          <w:tr w:rsidR="00A0022F" w:rsidRPr="00A0022F" w14:paraId="3691D117" w14:textId="77777777" w:rsidTr="008C2249">
            <w:tc>
              <w:tcPr>
                <w:tcW w:w="1809" w:type="dxa"/>
                <w:shd w:val="clear" w:color="auto" w:fill="auto"/>
              </w:tcPr>
              <w:p w14:paraId="2930DAB2"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5242AC37"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62D593BE"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(Copeland, 2011).</w:t>
                </w:r>
              </w:p>
            </w:tc>
          </w:tr>
          <w:tr w:rsidR="00A0022F" w:rsidRPr="00A0022F" w14:paraId="37F9C383" w14:textId="77777777" w:rsidTr="008C2249">
            <w:tc>
              <w:tcPr>
                <w:tcW w:w="1809" w:type="dxa"/>
                <w:shd w:val="clear" w:color="auto" w:fill="auto"/>
              </w:tcPr>
              <w:p w14:paraId="130F3CDE"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4A9EDE80"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4BCAA3C6" w14:textId="77777777" w:rsidR="00A0022F" w:rsidRPr="00A0022F" w:rsidRDefault="00A0022F" w:rsidP="008C2249">
                <w:pPr>
                  <w:pStyle w:val="NormalWeb"/>
                  <w:spacing w:before="0" w:beforeAutospacing="0" w:after="80" w:afterAutospacing="0"/>
                  <w:rPr>
                    <w:sz w:val="20"/>
                    <w:szCs w:val="20"/>
                    <w:lang w:val="id-ID"/>
                  </w:rPr>
                </w:pPr>
                <w:r w:rsidRPr="00A0022F">
                  <w:rPr>
                    <w:color w:val="000000"/>
                    <w:sz w:val="20"/>
                    <w:szCs w:val="20"/>
                  </w:rPr>
                  <w:t xml:space="preserve">Copeland, L. (2011, January 26). </w:t>
                </w:r>
                <w:r w:rsidRPr="00A0022F">
                  <w:rPr>
                    <w:sz w:val="20"/>
                    <w:szCs w:val="20"/>
                  </w:rPr>
                  <w:t xml:space="preserve">The anti-social network: By helping other people look happy, Facebook is making us sad. </w:t>
                </w:r>
                <w:r w:rsidRPr="00A0022F">
                  <w:rPr>
                    <w:rStyle w:val="Emphasis"/>
                    <w:sz w:val="20"/>
                    <w:szCs w:val="20"/>
                  </w:rPr>
                  <w:t xml:space="preserve">Slate. </w:t>
                </w:r>
                <w:r w:rsidRPr="00A0022F">
                  <w:rPr>
                    <w:sz w:val="20"/>
                    <w:szCs w:val="20"/>
                  </w:rPr>
                  <w:t xml:space="preserve">Retrieved from </w:t>
                </w:r>
                <w:hyperlink r:id="rId9" w:tgtFrame="_blank" w:tooltip="Slate" w:history="1">
                  <w:r w:rsidRPr="00A0022F">
                    <w:rPr>
                      <w:rStyle w:val="Hyperlink"/>
                      <w:sz w:val="20"/>
                      <w:szCs w:val="20"/>
                    </w:rPr>
                    <w:t xml:space="preserve">http://www.slate.com/ </w:t>
                  </w:r>
                </w:hyperlink>
              </w:p>
            </w:tc>
          </w:tr>
          <w:tr w:rsidR="00A0022F" w:rsidRPr="00A0022F" w14:paraId="1E036EB6" w14:textId="77777777" w:rsidTr="008C2249">
            <w:tc>
              <w:tcPr>
                <w:tcW w:w="9039" w:type="dxa"/>
                <w:gridSpan w:val="4"/>
                <w:shd w:val="clear" w:color="auto" w:fill="D9D9D9"/>
              </w:tcPr>
              <w:p w14:paraId="03CE579A"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Online newspaper article (Internet, freely available)</w:t>
                </w:r>
              </w:p>
            </w:tc>
          </w:tr>
          <w:tr w:rsidR="00A0022F" w:rsidRPr="00A0022F" w14:paraId="603B1562" w14:textId="77777777" w:rsidTr="008C2249">
            <w:tc>
              <w:tcPr>
                <w:tcW w:w="1809" w:type="dxa"/>
                <w:shd w:val="clear" w:color="auto" w:fill="auto"/>
              </w:tcPr>
              <w:p w14:paraId="04BB05B3"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15D665BE"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5D09E8F6"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w:t>
                </w:r>
                <w:proofErr w:type="spellStart"/>
                <w:r w:rsidRPr="00A0022F">
                  <w:rPr>
                    <w:rFonts w:cs="Times New Roman"/>
                    <w:sz w:val="20"/>
                    <w:szCs w:val="20"/>
                  </w:rPr>
                  <w:t>Pfahler</w:t>
                </w:r>
                <w:proofErr w:type="spellEnd"/>
                <w:r w:rsidRPr="00A0022F">
                  <w:rPr>
                    <w:rFonts w:cs="Times New Roman"/>
                    <w:sz w:val="20"/>
                    <w:szCs w:val="20"/>
                  </w:rPr>
                  <w:t>, 2011).</w:t>
                </w:r>
              </w:p>
            </w:tc>
          </w:tr>
          <w:tr w:rsidR="00A0022F" w:rsidRPr="00A0022F" w14:paraId="10460131" w14:textId="77777777" w:rsidTr="008C2249">
            <w:tc>
              <w:tcPr>
                <w:tcW w:w="1809" w:type="dxa"/>
                <w:shd w:val="clear" w:color="auto" w:fill="auto"/>
              </w:tcPr>
              <w:p w14:paraId="55B03FA5"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5867E1F"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73A15BA7" w14:textId="77777777" w:rsidR="00A0022F" w:rsidRPr="00A0022F" w:rsidRDefault="00A0022F" w:rsidP="008C2249">
                <w:pPr>
                  <w:pStyle w:val="Default"/>
                  <w:spacing w:after="80"/>
                  <w:rPr>
                    <w:rFonts w:cs="Times New Roman"/>
                    <w:sz w:val="20"/>
                    <w:szCs w:val="20"/>
                    <w:lang w:val="id-ID"/>
                  </w:rPr>
                </w:pPr>
                <w:proofErr w:type="spellStart"/>
                <w:r w:rsidRPr="00A0022F">
                  <w:rPr>
                    <w:rFonts w:cs="Times New Roman"/>
                    <w:sz w:val="20"/>
                    <w:szCs w:val="20"/>
                  </w:rPr>
                  <w:t>Pfahler</w:t>
                </w:r>
                <w:proofErr w:type="spellEnd"/>
                <w:r w:rsidRPr="00A0022F">
                  <w:rPr>
                    <w:rFonts w:cs="Times New Roman"/>
                    <w:sz w:val="20"/>
                    <w:szCs w:val="20"/>
                  </w:rPr>
                  <w:t xml:space="preserve">, E. (2011, January 5). Private investigator: Allegations about Port St. Lucie mayor meeting with police chief 'unfounded.' </w:t>
                </w:r>
                <w:proofErr w:type="spellStart"/>
                <w:r w:rsidRPr="00A0022F">
                  <w:rPr>
                    <w:rStyle w:val="Emphasis"/>
                    <w:rFonts w:cs="Times New Roman"/>
                    <w:sz w:val="20"/>
                    <w:szCs w:val="20"/>
                  </w:rPr>
                  <w:t>TCPalm</w:t>
                </w:r>
                <w:proofErr w:type="spellEnd"/>
                <w:r w:rsidRPr="00A0022F">
                  <w:rPr>
                    <w:rFonts w:cs="Times New Roman"/>
                    <w:sz w:val="20"/>
                    <w:szCs w:val="20"/>
                  </w:rPr>
                  <w:t xml:space="preserve">. Retrieved from </w:t>
                </w:r>
                <w:hyperlink r:id="rId10" w:tooltip="TCPalm article" w:history="1">
                  <w:r w:rsidRPr="00A0022F">
                    <w:rPr>
                      <w:rStyle w:val="Hyperlink"/>
                      <w:rFonts w:cs="Times New Roman"/>
                      <w:sz w:val="20"/>
                      <w:szCs w:val="20"/>
                    </w:rPr>
                    <w:t>http://www.tcpalm.com/news/2011/jan/05/private-investigator-allegations-about-mayor-faiel/ </w:t>
                  </w:r>
                </w:hyperlink>
              </w:p>
            </w:tc>
          </w:tr>
          <w:tr w:rsidR="00A0022F" w:rsidRPr="00A0022F" w14:paraId="237B1203" w14:textId="77777777" w:rsidTr="008C2249">
            <w:tc>
              <w:tcPr>
                <w:tcW w:w="9039" w:type="dxa"/>
                <w:gridSpan w:val="4"/>
                <w:shd w:val="clear" w:color="auto" w:fill="D9D9D9"/>
              </w:tcPr>
              <w:p w14:paraId="68A88173"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State statute</w:t>
                </w:r>
              </w:p>
            </w:tc>
          </w:tr>
          <w:tr w:rsidR="00A0022F" w:rsidRPr="00A0022F" w14:paraId="051E1B15" w14:textId="77777777" w:rsidTr="008C2249">
            <w:tc>
              <w:tcPr>
                <w:tcW w:w="1809" w:type="dxa"/>
                <w:shd w:val="clear" w:color="auto" w:fill="auto"/>
              </w:tcPr>
              <w:p w14:paraId="436ED2E2"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0D9D011F"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5B40ADA5" w14:textId="77777777" w:rsidR="00A0022F" w:rsidRPr="00A0022F" w:rsidRDefault="00A0022F" w:rsidP="008C2249">
                <w:pPr>
                  <w:pStyle w:val="Default"/>
                  <w:spacing w:after="80"/>
                  <w:rPr>
                    <w:rFonts w:cs="Times New Roman"/>
                    <w:b/>
                    <w:iCs/>
                    <w:sz w:val="20"/>
                    <w:szCs w:val="20"/>
                    <w:lang w:val="id-ID"/>
                  </w:rPr>
                </w:pPr>
                <w:r w:rsidRPr="00A0022F">
                  <w:rPr>
                    <w:rFonts w:cs="Times New Roman"/>
                    <w:b/>
                    <w:iCs/>
                    <w:sz w:val="20"/>
                    <w:szCs w:val="20"/>
                    <w:lang w:val="id-ID"/>
                  </w:rPr>
                  <w:t>(Fair Housing Act, 2011).</w:t>
                </w:r>
              </w:p>
              <w:p w14:paraId="5B52734C" w14:textId="77777777" w:rsidR="00A0022F" w:rsidRPr="00A0022F" w:rsidRDefault="00A0022F" w:rsidP="008C2249">
                <w:pPr>
                  <w:pStyle w:val="Default"/>
                  <w:spacing w:after="80"/>
                  <w:rPr>
                    <w:rFonts w:cs="Times New Roman"/>
                    <w:b/>
                    <w:iCs/>
                    <w:sz w:val="20"/>
                    <w:szCs w:val="20"/>
                    <w:lang w:val="id-ID"/>
                  </w:rPr>
                </w:pPr>
                <w:r w:rsidRPr="00A0022F">
                  <w:rPr>
                    <w:rFonts w:cs="Times New Roman"/>
                    <w:b/>
                    <w:iCs/>
                    <w:sz w:val="20"/>
                    <w:szCs w:val="20"/>
                    <w:lang w:val="id-ID"/>
                  </w:rPr>
                  <w:t>Statute name and year.</w:t>
                </w:r>
              </w:p>
            </w:tc>
          </w:tr>
          <w:tr w:rsidR="00A0022F" w:rsidRPr="00A0022F" w14:paraId="357DDF1B" w14:textId="77777777" w:rsidTr="008C2249">
            <w:tc>
              <w:tcPr>
                <w:tcW w:w="1809" w:type="dxa"/>
                <w:shd w:val="clear" w:color="auto" w:fill="auto"/>
              </w:tcPr>
              <w:p w14:paraId="6F019A64"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2B8CDD26"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560CC728" w14:textId="77777777" w:rsidR="00A0022F" w:rsidRPr="00A0022F" w:rsidRDefault="00A0022F" w:rsidP="008C2249">
                <w:pPr>
                  <w:pStyle w:val="NormalWeb"/>
                  <w:spacing w:before="0" w:beforeAutospacing="0" w:after="80" w:afterAutospacing="0"/>
                  <w:rPr>
                    <w:sz w:val="20"/>
                    <w:szCs w:val="20"/>
                  </w:rPr>
                </w:pPr>
                <w:r w:rsidRPr="00A0022F">
                  <w:rPr>
                    <w:sz w:val="20"/>
                    <w:szCs w:val="20"/>
                  </w:rPr>
                  <w:t>Fair Housing Act, 2011 Fla. Statutes §§ 760-760.20-760.37 (2011).</w:t>
                </w:r>
              </w:p>
              <w:p w14:paraId="434126E4" w14:textId="77777777" w:rsidR="00A0022F" w:rsidRPr="00A0022F" w:rsidRDefault="00A0022F" w:rsidP="008C2249">
                <w:pPr>
                  <w:pStyle w:val="NormalWeb"/>
                  <w:spacing w:before="0" w:beforeAutospacing="0" w:after="80" w:afterAutospacing="0"/>
                  <w:rPr>
                    <w:sz w:val="20"/>
                    <w:szCs w:val="20"/>
                    <w:lang w:val="id-ID"/>
                  </w:rPr>
                </w:pPr>
                <w:r w:rsidRPr="00A0022F">
                  <w:rPr>
                    <w:rStyle w:val="Strong"/>
                    <w:sz w:val="20"/>
                    <w:szCs w:val="20"/>
                  </w:rPr>
                  <w:t>Statute name, year of source, source, sections, and year of statute.</w:t>
                </w:r>
              </w:p>
            </w:tc>
          </w:tr>
          <w:tr w:rsidR="00A0022F" w:rsidRPr="00A0022F" w14:paraId="4064DDFC" w14:textId="77777777" w:rsidTr="008C2249">
            <w:tc>
              <w:tcPr>
                <w:tcW w:w="9039" w:type="dxa"/>
                <w:gridSpan w:val="4"/>
                <w:shd w:val="clear" w:color="auto" w:fill="D9D9D9"/>
              </w:tcPr>
              <w:p w14:paraId="38E4E653"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Cite unpublished or unattributed material (author listed)</w:t>
                </w:r>
              </w:p>
            </w:tc>
          </w:tr>
          <w:tr w:rsidR="00A0022F" w:rsidRPr="00A0022F" w14:paraId="26960488" w14:textId="77777777" w:rsidTr="008C2249">
            <w:tc>
              <w:tcPr>
                <w:tcW w:w="1809" w:type="dxa"/>
                <w:shd w:val="clear" w:color="auto" w:fill="auto"/>
              </w:tcPr>
              <w:p w14:paraId="78A4F299"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6AFBC08E"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5716F3DB" w14:textId="77777777" w:rsidR="00A0022F" w:rsidRPr="00A0022F" w:rsidRDefault="00A0022F" w:rsidP="008C2249">
                <w:pPr>
                  <w:pStyle w:val="Default"/>
                  <w:spacing w:after="80"/>
                  <w:rPr>
                    <w:rFonts w:cs="Times New Roman"/>
                    <w:iCs/>
                    <w:sz w:val="20"/>
                    <w:szCs w:val="20"/>
                    <w:lang w:val="id-ID"/>
                  </w:rPr>
                </w:pPr>
                <w:r w:rsidRPr="00A0022F">
                  <w:rPr>
                    <w:rFonts w:cs="Times New Roman"/>
                    <w:b/>
                    <w:iCs/>
                    <w:sz w:val="20"/>
                    <w:szCs w:val="20"/>
                    <w:lang w:val="id-ID"/>
                  </w:rPr>
                  <w:t>(</w:t>
                </w:r>
                <w:r w:rsidRPr="00A0022F">
                  <w:rPr>
                    <w:rFonts w:cs="Times New Roman"/>
                    <w:iCs/>
                    <w:sz w:val="20"/>
                    <w:szCs w:val="20"/>
                    <w:lang w:val="id-ID"/>
                  </w:rPr>
                  <w:t>Bronson, 2013)</w:t>
                </w:r>
              </w:p>
            </w:tc>
          </w:tr>
          <w:tr w:rsidR="00A0022F" w:rsidRPr="00A0022F" w14:paraId="4911D56B" w14:textId="77777777" w:rsidTr="008C2249">
            <w:tc>
              <w:tcPr>
                <w:tcW w:w="1809" w:type="dxa"/>
                <w:shd w:val="clear" w:color="auto" w:fill="auto"/>
              </w:tcPr>
              <w:p w14:paraId="6438A56E"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C2F467F"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6CB078A9"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Bronson, E. (2013). Table of company earnings by growth rate. In F. </w:t>
                </w:r>
                <w:proofErr w:type="spellStart"/>
                <w:r w:rsidRPr="00A0022F">
                  <w:rPr>
                    <w:rFonts w:cs="Times New Roman"/>
                    <w:sz w:val="20"/>
                    <w:szCs w:val="20"/>
                  </w:rPr>
                  <w:t>Harber</w:t>
                </w:r>
                <w:proofErr w:type="spellEnd"/>
                <w:r w:rsidRPr="00A0022F">
                  <w:rPr>
                    <w:rFonts w:cs="Times New Roman"/>
                    <w:sz w:val="20"/>
                    <w:szCs w:val="20"/>
                  </w:rPr>
                  <w:t xml:space="preserve"> </w:t>
                </w:r>
                <w:r w:rsidRPr="00A0022F">
                  <w:rPr>
                    <w:rFonts w:cs="Times New Roman"/>
                    <w:sz w:val="20"/>
                    <w:szCs w:val="20"/>
                  </w:rPr>
                  <w:lastRenderedPageBreak/>
                  <w:t>(Comp.), </w:t>
                </w:r>
                <w:r w:rsidRPr="00A0022F">
                  <w:rPr>
                    <w:rStyle w:val="Emphasis"/>
                    <w:rFonts w:cs="Times New Roman"/>
                    <w:sz w:val="20"/>
                    <w:szCs w:val="20"/>
                  </w:rPr>
                  <w:t>MAR2011: Principles of marketing</w:t>
                </w:r>
                <w:r w:rsidRPr="00A0022F">
                  <w:rPr>
                    <w:rFonts w:cs="Times New Roman"/>
                    <w:sz w:val="20"/>
                    <w:szCs w:val="20"/>
                  </w:rPr>
                  <w:t xml:space="preserve"> (pp. 15-16). Fort Pierce, FL: Indian River State College.</w:t>
                </w:r>
              </w:p>
            </w:tc>
          </w:tr>
          <w:tr w:rsidR="00A0022F" w:rsidRPr="00A0022F" w14:paraId="3295ED3D" w14:textId="77777777" w:rsidTr="008C2249">
            <w:tc>
              <w:tcPr>
                <w:tcW w:w="9039" w:type="dxa"/>
                <w:gridSpan w:val="4"/>
                <w:shd w:val="clear" w:color="auto" w:fill="D9D9D9"/>
              </w:tcPr>
              <w:p w14:paraId="4C35449C"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lastRenderedPageBreak/>
                  <w:t>Cite unpublished or unattributed material (no author)</w:t>
                </w:r>
              </w:p>
            </w:tc>
          </w:tr>
          <w:tr w:rsidR="00A0022F" w:rsidRPr="00A0022F" w14:paraId="28E46F73" w14:textId="77777777" w:rsidTr="008C2249">
            <w:tc>
              <w:tcPr>
                <w:tcW w:w="1809" w:type="dxa"/>
                <w:shd w:val="clear" w:color="auto" w:fill="auto"/>
              </w:tcPr>
              <w:p w14:paraId="3CBB0B76"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6EB38096"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7758E8B5"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("Table of company," 2013).</w:t>
                </w:r>
              </w:p>
            </w:tc>
          </w:tr>
          <w:tr w:rsidR="00A0022F" w:rsidRPr="00A0022F" w14:paraId="73E131E4" w14:textId="77777777" w:rsidTr="008C2249">
            <w:tc>
              <w:tcPr>
                <w:tcW w:w="1809" w:type="dxa"/>
                <w:shd w:val="clear" w:color="auto" w:fill="auto"/>
              </w:tcPr>
              <w:p w14:paraId="5E9466D1"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7E394A2C"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76DF698D"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Table of company earnings by growth rate. (2013). In F. </w:t>
                </w:r>
                <w:proofErr w:type="spellStart"/>
                <w:r w:rsidRPr="00A0022F">
                  <w:rPr>
                    <w:rFonts w:cs="Times New Roman"/>
                    <w:sz w:val="20"/>
                    <w:szCs w:val="20"/>
                  </w:rPr>
                  <w:t>Harber</w:t>
                </w:r>
                <w:proofErr w:type="spellEnd"/>
                <w:r w:rsidRPr="00A0022F">
                  <w:rPr>
                    <w:rFonts w:cs="Times New Roman"/>
                    <w:sz w:val="20"/>
                    <w:szCs w:val="20"/>
                  </w:rPr>
                  <w:t xml:space="preserve"> (Comp.), </w:t>
                </w:r>
                <w:r w:rsidRPr="00A0022F">
                  <w:rPr>
                    <w:rStyle w:val="Emphasis"/>
                    <w:rFonts w:cs="Times New Roman"/>
                    <w:sz w:val="20"/>
                    <w:szCs w:val="20"/>
                  </w:rPr>
                  <w:t>MAR2011: Principles of marketing</w:t>
                </w:r>
                <w:r w:rsidRPr="00A0022F">
                  <w:rPr>
                    <w:rFonts w:cs="Times New Roman"/>
                    <w:sz w:val="20"/>
                    <w:szCs w:val="20"/>
                  </w:rPr>
                  <w:t xml:space="preserve"> pp. 15-16. Fort Pierce, FL: Indian River State College.</w:t>
                </w:r>
              </w:p>
            </w:tc>
          </w:tr>
          <w:tr w:rsidR="00A0022F" w:rsidRPr="00A0022F" w14:paraId="47ABDB5C" w14:textId="77777777" w:rsidTr="008C2249">
            <w:tc>
              <w:tcPr>
                <w:tcW w:w="9039" w:type="dxa"/>
                <w:gridSpan w:val="4"/>
                <w:shd w:val="clear" w:color="auto" w:fill="D9D9D9"/>
              </w:tcPr>
              <w:p w14:paraId="2143F8C8"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Cite unpublished dissertation or thesis</w:t>
                </w:r>
              </w:p>
            </w:tc>
          </w:tr>
          <w:tr w:rsidR="00A0022F" w:rsidRPr="00A0022F" w14:paraId="0B7DE8FF" w14:textId="77777777" w:rsidTr="008C2249">
            <w:tc>
              <w:tcPr>
                <w:tcW w:w="1809" w:type="dxa"/>
                <w:shd w:val="clear" w:color="auto" w:fill="auto"/>
              </w:tcPr>
              <w:p w14:paraId="270B35EF"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7420DFAC"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2C31BF20"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(Skidmore, 2017).</w:t>
                </w:r>
              </w:p>
            </w:tc>
          </w:tr>
          <w:tr w:rsidR="00A0022F" w:rsidRPr="00A0022F" w14:paraId="29CEBF16" w14:textId="77777777" w:rsidTr="008C2249">
            <w:tc>
              <w:tcPr>
                <w:tcW w:w="1809" w:type="dxa"/>
                <w:shd w:val="clear" w:color="auto" w:fill="auto"/>
              </w:tcPr>
              <w:p w14:paraId="78604537"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204C533B"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5B4CBBD5" w14:textId="51CECD48" w:rsidR="00A0022F" w:rsidRPr="00A0022F" w:rsidRDefault="00A0022F" w:rsidP="008C2249">
                <w:pPr>
                  <w:pStyle w:val="Default"/>
                  <w:spacing w:after="80"/>
                  <w:rPr>
                    <w:rFonts w:cs="Times New Roman"/>
                    <w:sz w:val="20"/>
                    <w:szCs w:val="20"/>
                  </w:rPr>
                </w:pPr>
                <w:r w:rsidRPr="00A0022F">
                  <w:rPr>
                    <w:rFonts w:cs="Times New Roman"/>
                    <w:sz w:val="20"/>
                    <w:szCs w:val="20"/>
                  </w:rPr>
                  <w:t>Skidmore, K. L. (2017).</w:t>
                </w:r>
                <w:r w:rsidRPr="00A0022F">
                  <w:rPr>
                    <w:rStyle w:val="Emphasis"/>
                    <w:rFonts w:cs="Times New Roman"/>
                    <w:sz w:val="20"/>
                    <w:szCs w:val="20"/>
                  </w:rPr>
                  <w:t xml:space="preserve"> The effects of postpartum depression among young mothers who give children up for adoption</w:t>
                </w:r>
                <w:r w:rsidRPr="00A0022F">
                  <w:rPr>
                    <w:rFonts w:cs="Times New Roman"/>
                    <w:sz w:val="20"/>
                    <w:szCs w:val="20"/>
                  </w:rPr>
                  <w:t xml:space="preserve"> (Unpublished master's thesis). Nova Southeastern University, Fort Lauderdale, FL.</w:t>
                </w:r>
              </w:p>
            </w:tc>
          </w:tr>
          <w:tr w:rsidR="00A0022F" w:rsidRPr="00A0022F" w14:paraId="498F2B34" w14:textId="77777777" w:rsidTr="008C2249">
            <w:tc>
              <w:tcPr>
                <w:tcW w:w="9039" w:type="dxa"/>
                <w:gridSpan w:val="4"/>
                <w:shd w:val="clear" w:color="auto" w:fill="D9D9D9"/>
              </w:tcPr>
              <w:p w14:paraId="7B8572B9"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Cite a dissertation published in a subscription database</w:t>
                </w:r>
              </w:p>
            </w:tc>
          </w:tr>
          <w:tr w:rsidR="00A0022F" w:rsidRPr="00A0022F" w14:paraId="73B344FF" w14:textId="77777777" w:rsidTr="008C2249">
            <w:tc>
              <w:tcPr>
                <w:tcW w:w="1809" w:type="dxa"/>
                <w:shd w:val="clear" w:color="auto" w:fill="auto"/>
              </w:tcPr>
              <w:p w14:paraId="14793772"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0950C3D2"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7A74F3A0" w14:textId="77777777" w:rsidR="00A0022F" w:rsidRPr="00A0022F" w:rsidRDefault="00A0022F" w:rsidP="008C2249">
                <w:pPr>
                  <w:pStyle w:val="Default"/>
                  <w:spacing w:after="80"/>
                  <w:rPr>
                    <w:rFonts w:cs="Times New Roman"/>
                    <w:iCs/>
                    <w:sz w:val="20"/>
                    <w:szCs w:val="20"/>
                    <w:lang w:val="id-ID"/>
                  </w:rPr>
                </w:pPr>
                <w:r w:rsidRPr="00A0022F">
                  <w:rPr>
                    <w:rFonts w:cs="Times New Roman"/>
                    <w:iCs/>
                    <w:sz w:val="20"/>
                    <w:szCs w:val="20"/>
                    <w:lang w:val="id-ID"/>
                  </w:rPr>
                  <w:t>(Woods, 2014)</w:t>
                </w:r>
              </w:p>
            </w:tc>
          </w:tr>
          <w:tr w:rsidR="00A0022F" w:rsidRPr="00A0022F" w14:paraId="1C851341" w14:textId="77777777" w:rsidTr="008C2249">
            <w:tc>
              <w:tcPr>
                <w:tcW w:w="1809" w:type="dxa"/>
                <w:shd w:val="clear" w:color="auto" w:fill="auto"/>
              </w:tcPr>
              <w:p w14:paraId="3F6ADEDA"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01F4208C"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0D915C0D"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Woods, S. (2014). </w:t>
                </w:r>
                <w:r w:rsidRPr="00A0022F">
                  <w:rPr>
                    <w:rStyle w:val="Emphasis"/>
                    <w:rFonts w:cs="Times New Roman"/>
                    <w:sz w:val="20"/>
                    <w:szCs w:val="20"/>
                  </w:rPr>
                  <w:t xml:space="preserve">Does the race of police </w:t>
                </w:r>
                <w:proofErr w:type="gramStart"/>
                <w:r w:rsidRPr="00A0022F">
                  <w:rPr>
                    <w:rStyle w:val="Emphasis"/>
                    <w:rFonts w:cs="Times New Roman"/>
                    <w:sz w:val="20"/>
                    <w:szCs w:val="20"/>
                  </w:rPr>
                  <w:t>officers</w:t>
                </w:r>
                <w:proofErr w:type="gramEnd"/>
                <w:r w:rsidRPr="00A0022F">
                  <w:rPr>
                    <w:rStyle w:val="Emphasis"/>
                    <w:rFonts w:cs="Times New Roman"/>
                    <w:sz w:val="20"/>
                    <w:szCs w:val="20"/>
                  </w:rPr>
                  <w:t xml:space="preserve"> matter? Police officers on interactions with citizens and police procedures</w:t>
                </w:r>
                <w:r w:rsidRPr="00A0022F">
                  <w:rPr>
                    <w:rFonts w:cs="Times New Roman"/>
                    <w:sz w:val="20"/>
                    <w:szCs w:val="20"/>
                  </w:rPr>
                  <w:t xml:space="preserve"> (Doctoral dissertation). Retrieved from ProQuest Criminal Justice Database. (Order No. 3665295)</w:t>
                </w:r>
              </w:p>
            </w:tc>
          </w:tr>
          <w:tr w:rsidR="00A0022F" w:rsidRPr="00A0022F" w14:paraId="1718C0B0" w14:textId="77777777" w:rsidTr="008C2249">
            <w:tc>
              <w:tcPr>
                <w:tcW w:w="9039" w:type="dxa"/>
                <w:gridSpan w:val="4"/>
                <w:shd w:val="clear" w:color="auto" w:fill="D9D9D9"/>
              </w:tcPr>
              <w:p w14:paraId="38405564"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Online newspaper article</w:t>
                </w:r>
              </w:p>
            </w:tc>
          </w:tr>
          <w:tr w:rsidR="00A0022F" w:rsidRPr="00A0022F" w14:paraId="39DEFDBE" w14:textId="77777777" w:rsidTr="008C2249">
            <w:tc>
              <w:tcPr>
                <w:tcW w:w="1809" w:type="dxa"/>
                <w:shd w:val="clear" w:color="auto" w:fill="auto"/>
              </w:tcPr>
              <w:p w14:paraId="2BA4CDDF"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6C7AA4BF"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380F3131" w14:textId="77777777" w:rsidR="00A0022F" w:rsidRPr="00A0022F" w:rsidRDefault="00A0022F" w:rsidP="008C2249">
                <w:pPr>
                  <w:pStyle w:val="Default"/>
                  <w:spacing w:after="80"/>
                  <w:rPr>
                    <w:rFonts w:cs="Times New Roman"/>
                    <w:iCs/>
                    <w:sz w:val="20"/>
                    <w:szCs w:val="20"/>
                    <w:lang w:val="id-ID"/>
                  </w:rPr>
                </w:pPr>
                <w:r w:rsidRPr="00A0022F">
                  <w:rPr>
                    <w:rFonts w:cs="Times New Roman"/>
                    <w:iCs/>
                    <w:sz w:val="20"/>
                    <w:szCs w:val="20"/>
                    <w:lang w:val="id-ID"/>
                  </w:rPr>
                  <w:t>(Bolivar, 2011)</w:t>
                </w:r>
              </w:p>
            </w:tc>
          </w:tr>
          <w:tr w:rsidR="00A0022F" w:rsidRPr="00A0022F" w14:paraId="4ECC1629" w14:textId="77777777" w:rsidTr="008C2249">
            <w:tc>
              <w:tcPr>
                <w:tcW w:w="1809" w:type="dxa"/>
                <w:shd w:val="clear" w:color="auto" w:fill="auto"/>
              </w:tcPr>
              <w:p w14:paraId="3AB92CCD"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CF898F3"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1810925F" w14:textId="77777777" w:rsidR="00A0022F" w:rsidRPr="00A0022F" w:rsidRDefault="00A0022F" w:rsidP="008C2249">
                <w:pPr>
                  <w:pStyle w:val="Default"/>
                  <w:spacing w:after="80"/>
                  <w:rPr>
                    <w:rFonts w:cs="Times New Roman"/>
                    <w:b/>
                    <w:iCs/>
                    <w:sz w:val="20"/>
                    <w:szCs w:val="20"/>
                    <w:lang w:val="id-ID"/>
                  </w:rPr>
                </w:pPr>
                <w:r w:rsidRPr="00A0022F">
                  <w:rPr>
                    <w:rFonts w:cs="Times New Roman"/>
                    <w:sz w:val="20"/>
                    <w:szCs w:val="20"/>
                  </w:rPr>
                  <w:t xml:space="preserve">Bolivar, L. (2011, January 13). Treasure coast bird count shows decline of species unable to adapt to urbanization. </w:t>
                </w:r>
                <w:r w:rsidRPr="00A0022F">
                  <w:rPr>
                    <w:rStyle w:val="Emphasis"/>
                    <w:rFonts w:cs="Times New Roman"/>
                    <w:sz w:val="20"/>
                    <w:szCs w:val="20"/>
                  </w:rPr>
                  <w:t>TC Palm</w:t>
                </w:r>
                <w:r w:rsidRPr="00A0022F">
                  <w:rPr>
                    <w:rFonts w:cs="Times New Roman"/>
                    <w:sz w:val="20"/>
                    <w:szCs w:val="20"/>
                  </w:rPr>
                  <w:t xml:space="preserve">. Retrieved from </w:t>
                </w:r>
                <w:hyperlink r:id="rId11" w:tgtFrame="_blank" w:tooltip="TC Palm" w:history="1">
                  <w:r w:rsidRPr="00A0022F">
                    <w:rPr>
                      <w:rStyle w:val="Hyperlink"/>
                      <w:rFonts w:cs="Times New Roman"/>
                      <w:sz w:val="20"/>
                      <w:szCs w:val="20"/>
                    </w:rPr>
                    <w:t>http://www.tcpalm.com/</w:t>
                  </w:r>
                </w:hyperlink>
              </w:p>
            </w:tc>
          </w:tr>
          <w:tr w:rsidR="00A0022F" w:rsidRPr="00A0022F" w14:paraId="37BA2469" w14:textId="77777777" w:rsidTr="008C2249">
            <w:tc>
              <w:tcPr>
                <w:tcW w:w="9039" w:type="dxa"/>
                <w:gridSpan w:val="4"/>
                <w:shd w:val="clear" w:color="auto" w:fill="D9D9D9"/>
              </w:tcPr>
              <w:p w14:paraId="067AFFF6" w14:textId="77777777" w:rsidR="00A0022F" w:rsidRPr="00A0022F" w:rsidRDefault="00A0022F" w:rsidP="008C2249">
                <w:pPr>
                  <w:pStyle w:val="Default"/>
                  <w:spacing w:after="80"/>
                  <w:rPr>
                    <w:rFonts w:cs="Times New Roman"/>
                    <w:b/>
                    <w:iCs/>
                    <w:sz w:val="20"/>
                    <w:szCs w:val="20"/>
                    <w:lang w:val="id-ID"/>
                  </w:rPr>
                </w:pPr>
                <w:r w:rsidRPr="00A0022F">
                  <w:rPr>
                    <w:rFonts w:cs="Times New Roman"/>
                    <w:b/>
                    <w:sz w:val="20"/>
                    <w:szCs w:val="20"/>
                  </w:rPr>
                  <w:t>Online book</w:t>
                </w:r>
              </w:p>
            </w:tc>
          </w:tr>
          <w:tr w:rsidR="00A0022F" w:rsidRPr="00A0022F" w14:paraId="5BCA1BE6" w14:textId="77777777" w:rsidTr="008C2249">
            <w:tc>
              <w:tcPr>
                <w:tcW w:w="1809" w:type="dxa"/>
                <w:shd w:val="clear" w:color="auto" w:fill="auto"/>
              </w:tcPr>
              <w:p w14:paraId="7B1391C7"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In-text Citation</w:t>
                </w:r>
              </w:p>
            </w:tc>
            <w:tc>
              <w:tcPr>
                <w:tcW w:w="301" w:type="dxa"/>
                <w:shd w:val="clear" w:color="auto" w:fill="auto"/>
              </w:tcPr>
              <w:p w14:paraId="38CC83FE"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18F07520" w14:textId="77777777" w:rsidR="00A0022F" w:rsidRPr="00A0022F" w:rsidRDefault="00A0022F" w:rsidP="008C2249">
                <w:pPr>
                  <w:pStyle w:val="Default"/>
                  <w:spacing w:after="80"/>
                  <w:rPr>
                    <w:rFonts w:cs="Times New Roman"/>
                    <w:iCs/>
                    <w:sz w:val="20"/>
                    <w:szCs w:val="20"/>
                    <w:lang w:val="id-ID"/>
                  </w:rPr>
                </w:pPr>
                <w:r w:rsidRPr="00A0022F">
                  <w:rPr>
                    <w:rFonts w:cs="Times New Roman"/>
                    <w:iCs/>
                    <w:sz w:val="20"/>
                    <w:szCs w:val="20"/>
                    <w:lang w:val="id-ID"/>
                  </w:rPr>
                  <w:t>(Nevitte, 1996)</w:t>
                </w:r>
              </w:p>
            </w:tc>
          </w:tr>
          <w:tr w:rsidR="00A0022F" w:rsidRPr="00A0022F" w14:paraId="71A0F7E5" w14:textId="77777777" w:rsidTr="008C2249">
            <w:tc>
              <w:tcPr>
                <w:tcW w:w="1809" w:type="dxa"/>
                <w:shd w:val="clear" w:color="auto" w:fill="auto"/>
              </w:tcPr>
              <w:p w14:paraId="739D2722" w14:textId="77777777" w:rsidR="00A0022F" w:rsidRPr="00A0022F" w:rsidRDefault="00A0022F" w:rsidP="008C2249">
                <w:pPr>
                  <w:pStyle w:val="Default"/>
                  <w:spacing w:after="80"/>
                  <w:rPr>
                    <w:rFonts w:cs="Times New Roman"/>
                    <w:i/>
                    <w:iCs/>
                    <w:sz w:val="20"/>
                    <w:szCs w:val="20"/>
                    <w:lang w:val="id-ID"/>
                  </w:rPr>
                </w:pPr>
                <w:r w:rsidRPr="00A0022F">
                  <w:rPr>
                    <w:rFonts w:cs="Times New Roman"/>
                    <w:i/>
                    <w:iCs/>
                    <w:sz w:val="20"/>
                    <w:szCs w:val="20"/>
                    <w:lang w:val="id-ID"/>
                  </w:rPr>
                  <w:t>Reference</w:t>
                </w:r>
              </w:p>
            </w:tc>
            <w:tc>
              <w:tcPr>
                <w:tcW w:w="301" w:type="dxa"/>
                <w:shd w:val="clear" w:color="auto" w:fill="auto"/>
              </w:tcPr>
              <w:p w14:paraId="6EF348B9" w14:textId="77777777" w:rsidR="00A0022F" w:rsidRPr="00A0022F" w:rsidRDefault="00A0022F" w:rsidP="008C2249">
                <w:pPr>
                  <w:spacing w:after="80"/>
                </w:pPr>
                <w:r w:rsidRPr="00A0022F">
                  <w:rPr>
                    <w:iCs/>
                    <w:lang w:val="id-ID"/>
                  </w:rPr>
                  <w:t>:</w:t>
                </w:r>
              </w:p>
            </w:tc>
            <w:tc>
              <w:tcPr>
                <w:tcW w:w="6929" w:type="dxa"/>
                <w:gridSpan w:val="2"/>
                <w:shd w:val="clear" w:color="auto" w:fill="auto"/>
              </w:tcPr>
              <w:p w14:paraId="0639C757" w14:textId="77777777" w:rsidR="00A0022F" w:rsidRPr="00A0022F" w:rsidRDefault="00A0022F" w:rsidP="008C2249">
                <w:pPr>
                  <w:pStyle w:val="Default"/>
                  <w:spacing w:after="80"/>
                  <w:rPr>
                    <w:rFonts w:cs="Times New Roman"/>
                    <w:b/>
                    <w:iCs/>
                    <w:sz w:val="20"/>
                    <w:szCs w:val="20"/>
                    <w:lang w:val="id-ID"/>
                  </w:rPr>
                </w:pPr>
                <w:proofErr w:type="spellStart"/>
                <w:r w:rsidRPr="00A0022F">
                  <w:rPr>
                    <w:rFonts w:cs="Times New Roman"/>
                    <w:sz w:val="20"/>
                    <w:szCs w:val="20"/>
                  </w:rPr>
                  <w:t>Nevitte</w:t>
                </w:r>
                <w:proofErr w:type="spellEnd"/>
                <w:r w:rsidRPr="00A0022F">
                  <w:rPr>
                    <w:rFonts w:cs="Times New Roman"/>
                    <w:sz w:val="20"/>
                    <w:szCs w:val="20"/>
                  </w:rPr>
                  <w:t xml:space="preserve">, N. (1996). The decline of deference: Canadian value change in cross-national perspective. Retrieved from </w:t>
                </w:r>
                <w:hyperlink r:id="rId12" w:tgtFrame="_blank" w:tooltip="Google Books" w:history="1">
                  <w:r w:rsidRPr="00A0022F">
                    <w:rPr>
                      <w:rStyle w:val="Hyperlink"/>
                      <w:rFonts w:cs="Times New Roman"/>
                      <w:sz w:val="20"/>
                      <w:szCs w:val="20"/>
                    </w:rPr>
                    <w:t>http://books.google.com/books</w:t>
                  </w:r>
                </w:hyperlink>
              </w:p>
            </w:tc>
          </w:tr>
        </w:tbl>
        <w:p w14:paraId="37D0DB45" w14:textId="4752FB3C" w:rsidR="00E619D6" w:rsidRPr="003D6B19" w:rsidRDefault="00A0022F" w:rsidP="00A0022F">
          <w:pPr>
            <w:jc w:val="both"/>
            <w:rPr>
              <w:iCs/>
              <w:lang w:val="en-ID"/>
            </w:rPr>
          </w:pPr>
        </w:p>
      </w:sdtContent>
    </w:sdt>
    <w:sectPr w:rsidR="00E619D6" w:rsidRPr="003D6B19" w:rsidSect="00307BF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709" w:footer="5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94FF" w14:textId="77777777" w:rsidR="00F6633E" w:rsidRDefault="00F6633E">
      <w:r>
        <w:separator/>
      </w:r>
    </w:p>
  </w:endnote>
  <w:endnote w:type="continuationSeparator" w:id="0">
    <w:p w14:paraId="4F2551C7" w14:textId="77777777" w:rsidR="00F6633E" w:rsidRDefault="00F6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7AA3E99"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1552" behindDoc="0" locked="0" layoutInCell="1" allowOverlap="1" wp14:anchorId="307E942D" wp14:editId="4824D50D">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58A3"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981F5C">
      <w:t xml:space="preserve">Indonesian J Elec </w:t>
    </w:r>
    <w:proofErr w:type="spellStart"/>
    <w:r w:rsidR="00981F5C">
      <w:t>Eng</w:t>
    </w:r>
    <w:proofErr w:type="spellEnd"/>
    <w:r w:rsidR="00981F5C">
      <w:t xml:space="preserve"> &amp; Comp Sci</w:t>
    </w:r>
    <w:r w:rsidR="00784C44" w:rsidRPr="00E619D6">
      <w:t xml:space="preserve">, </w:t>
    </w:r>
    <w:r w:rsidR="00097958" w:rsidRPr="00E619D6">
      <w:t xml:space="preserve">Vol. </w:t>
    </w:r>
    <w:r w:rsidR="00A114B0">
      <w:t>99</w:t>
    </w:r>
    <w:r w:rsidR="00097958" w:rsidRPr="00E619D6">
      <w:t xml:space="preserve">, No. </w:t>
    </w:r>
    <w:r w:rsidR="00A114B0">
      <w:t>1</w:t>
    </w:r>
    <w:r w:rsidR="0055343D" w:rsidRPr="00E619D6">
      <w:t xml:space="preserve">, </w:t>
    </w:r>
    <w:r w:rsidR="00A45398" w:rsidRPr="00735BBC">
      <w:t>Month</w:t>
    </w:r>
    <w:r w:rsidR="003A2810" w:rsidRPr="00735BBC">
      <w:t xml:space="preserve"> </w:t>
    </w:r>
    <w:r w:rsidR="003E4DD5" w:rsidRPr="00735BBC">
      <w:t>20</w:t>
    </w:r>
    <w:r w:rsidR="00A114B0">
      <w:t>99</w:t>
    </w:r>
    <w:r w:rsidR="00E305A0" w:rsidRPr="00735BBC">
      <w:t>:</w:t>
    </w:r>
    <w:r w:rsidR="00097958" w:rsidRPr="00735BBC">
      <w:t xml:space="preserve"> </w:t>
    </w:r>
    <w:r w:rsidR="00A114B0">
      <w:t>1</w:t>
    </w:r>
    <w:r w:rsidR="00BB48F9" w:rsidRPr="00735BBC">
      <w:t>-</w:t>
    </w:r>
    <w:r w:rsidR="00A114B0">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2231"/>
      <w:docPartObj>
        <w:docPartGallery w:val="Page Numbers (Bottom of Page)"/>
        <w:docPartUnique/>
      </w:docPartObj>
    </w:sdtPr>
    <w:sdtContent>
      <w:p w14:paraId="69C44691" w14:textId="34D47F57" w:rsidR="00307BF5" w:rsidRDefault="00307BF5">
        <w:pPr>
          <w:pStyle w:val="Footer"/>
          <w:jc w:val="right"/>
        </w:pPr>
        <w:r>
          <w:rPr>
            <w:i/>
            <w:iCs/>
            <w:noProof/>
          </w:rPr>
          <w:t>Penulis – Judul Artikel</w:t>
        </w:r>
        <w:r>
          <w:t xml:space="preserve"> | </w:t>
        </w:r>
        <w:r w:rsidRPr="00307BF5">
          <w:fldChar w:fldCharType="begin"/>
        </w:r>
        <w:r w:rsidRPr="00307BF5">
          <w:instrText xml:space="preserve"> PAGE   \* MERGEFORMAT </w:instrText>
        </w:r>
        <w:r w:rsidRPr="00307BF5">
          <w:fldChar w:fldCharType="separate"/>
        </w:r>
        <w:r w:rsidRPr="00307BF5">
          <w:rPr>
            <w:noProof/>
          </w:rPr>
          <w:t>2</w:t>
        </w:r>
        <w:r w:rsidRPr="00307BF5">
          <w:rPr>
            <w:noProof/>
          </w:rPr>
          <w:fldChar w:fldCharType="end"/>
        </w:r>
        <w:r w:rsidRPr="00307BF5">
          <w:rPr>
            <w:sz w:val="16"/>
            <w:szCs w:val="16"/>
          </w:rPr>
          <w:t xml:space="preserve"> </w:t>
        </w:r>
      </w:p>
    </w:sdtContent>
  </w:sdt>
  <w:p w14:paraId="021DB96C" w14:textId="1C830785" w:rsidR="00097958" w:rsidRPr="00C07BEF" w:rsidRDefault="00097958" w:rsidP="00DA3BBA">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FA4E" w14:textId="38DD5540" w:rsidR="00307BF5" w:rsidRPr="00307BF5" w:rsidRDefault="00307BF5" w:rsidP="00307BF5">
    <w:pPr>
      <w:pStyle w:val="Footer"/>
      <w:spacing w:before="240"/>
      <w:rPr>
        <w:i/>
        <w:szCs w:val="18"/>
      </w:rPr>
    </w:pPr>
    <w:r>
      <w:rPr>
        <w:noProof/>
      </w:rPr>
      <mc:AlternateContent>
        <mc:Choice Requires="wps">
          <w:drawing>
            <wp:anchor distT="0" distB="0" distL="114300" distR="114300" simplePos="0" relativeHeight="251675648" behindDoc="0" locked="0" layoutInCell="1" allowOverlap="1" wp14:anchorId="4BEEA895" wp14:editId="1DC634C6">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3E70A"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Pr="00C854C1">
      <w:rPr>
        <w:b/>
        <w:i/>
        <w:szCs w:val="18"/>
      </w:rPr>
      <w:t>Journal homepage</w:t>
    </w:r>
    <w:r>
      <w:rPr>
        <w:i/>
        <w:szCs w:val="18"/>
      </w:rPr>
      <w:t xml:space="preserve">: </w:t>
    </w:r>
    <w:r w:rsidRPr="00307BF5">
      <w:rPr>
        <w:i/>
        <w:szCs w:val="18"/>
      </w:rPr>
      <w:t>https://e-journal.upr.ac.id/index.php/blnc</w:t>
    </w:r>
    <w:r>
      <w:rPr>
        <w:i/>
        <w:szCs w:val="18"/>
      </w:rPr>
      <w:tab/>
    </w:r>
    <w:sdt>
      <w:sdtPr>
        <w:id w:val="-56039823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sdtContent>
    </w:sdt>
  </w:p>
  <w:p w14:paraId="29D1DD03" w14:textId="4BF44836" w:rsidR="00097958" w:rsidRPr="00307BF5" w:rsidRDefault="00097958" w:rsidP="0030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B5A0" w14:textId="77777777" w:rsidR="00F6633E" w:rsidRDefault="00F6633E">
      <w:r>
        <w:separator/>
      </w:r>
    </w:p>
  </w:footnote>
  <w:footnote w:type="continuationSeparator" w:id="0">
    <w:p w14:paraId="17028594" w14:textId="77777777" w:rsidR="00F6633E" w:rsidRDefault="00F6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66C818A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36240665" wp14:editId="20538040">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BBF0C"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81F5C" w:rsidRPr="00C931BC">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986C" w14:textId="77777777" w:rsidR="00307BF5" w:rsidRDefault="00A0022F" w:rsidP="00A0022F">
    <w:pPr>
      <w:pStyle w:val="Header"/>
      <w:tabs>
        <w:tab w:val="clear" w:pos="4320"/>
        <w:tab w:val="clear" w:pos="8640"/>
        <w:tab w:val="left" w:pos="0"/>
        <w:tab w:val="center" w:pos="4301"/>
      </w:tabs>
    </w:pPr>
    <w:r w:rsidRPr="00A0022F">
      <w:t xml:space="preserve">Balance: Media </w:t>
    </w:r>
    <w:proofErr w:type="spellStart"/>
    <w:r w:rsidRPr="00A0022F">
      <w:t>Informasi</w:t>
    </w:r>
    <w:proofErr w:type="spellEnd"/>
    <w:r w:rsidRPr="00A0022F">
      <w:t xml:space="preserve"> </w:t>
    </w:r>
    <w:proofErr w:type="spellStart"/>
    <w:r w:rsidRPr="00A0022F">
      <w:t>Akuntansi</w:t>
    </w:r>
    <w:proofErr w:type="spellEnd"/>
    <w:r w:rsidRPr="00A0022F">
      <w:t xml:space="preserve"> dan </w:t>
    </w:r>
    <w:proofErr w:type="spellStart"/>
    <w:r w:rsidRPr="00A0022F">
      <w:t>Keuangan</w:t>
    </w:r>
    <w:proofErr w:type="spellEnd"/>
  </w:p>
  <w:p w14:paraId="72D04B55" w14:textId="797C4A55" w:rsidR="00097958" w:rsidRPr="003D5B84" w:rsidRDefault="00307BF5" w:rsidP="00A0022F">
    <w:pPr>
      <w:pStyle w:val="Header"/>
      <w:tabs>
        <w:tab w:val="clear" w:pos="4320"/>
        <w:tab w:val="clear" w:pos="8640"/>
        <w:tab w:val="left" w:pos="0"/>
        <w:tab w:val="center" w:pos="4301"/>
      </w:tabs>
    </w:pPr>
    <w:r w:rsidRPr="00A0022F">
      <w:t>ISSN 2085-7349 (print)</w:t>
    </w:r>
    <w:r>
      <w:t xml:space="preserve"> /</w:t>
    </w:r>
    <w:r w:rsidRPr="00A0022F">
      <w:t xml:space="preserve"> 2829-1581 (online)</w:t>
    </w:r>
    <w:r w:rsidR="00A0022F">
      <w:tab/>
    </w:r>
    <w:r w:rsidR="00A0022F">
      <w:tab/>
    </w:r>
    <w:r>
      <w:tab/>
    </w:r>
  </w:p>
  <w:p w14:paraId="5D44CA57" w14:textId="77777777" w:rsidR="00307BF5" w:rsidRDefault="00307BF5" w:rsidP="0094367D">
    <w:pPr>
      <w:pStyle w:val="Header"/>
      <w:ind w:right="360" w:firstLine="360"/>
    </w:pPr>
  </w:p>
  <w:p w14:paraId="3BE6E7DA" w14:textId="3BD45EC7" w:rsidR="00097958" w:rsidRPr="003D5B84" w:rsidRDefault="00222701" w:rsidP="0094367D">
    <w:pPr>
      <w:pStyle w:val="Header"/>
      <w:ind w:right="360" w:firstLine="360"/>
    </w:pPr>
    <w:r>
      <w:rPr>
        <w:noProof/>
      </w:rPr>
      <mc:AlternateContent>
        <mc:Choice Requires="wps">
          <w:drawing>
            <wp:anchor distT="0" distB="0" distL="114300" distR="114300" simplePos="0" relativeHeight="251656192" behindDoc="0" locked="0" layoutInCell="1" allowOverlap="1" wp14:anchorId="485510DB" wp14:editId="3E6BC9A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4A328"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51832"/>
      <w:docPartObj>
        <w:docPartGallery w:val="Page Numbers (Top of Page)"/>
        <w:docPartUnique/>
      </w:docPartObj>
    </w:sdtPr>
    <w:sdtEndPr>
      <w:rPr>
        <w:noProof/>
        <w:sz w:val="24"/>
        <w:szCs w:val="24"/>
      </w:rPr>
    </w:sdtEndPr>
    <w:sdtContent>
      <w:p w14:paraId="65A5EEAC" w14:textId="77777777" w:rsidR="00307BF5" w:rsidRDefault="00307BF5" w:rsidP="00307BF5">
        <w:pPr>
          <w:pStyle w:val="Header"/>
          <w:tabs>
            <w:tab w:val="clear" w:pos="4320"/>
            <w:tab w:val="clear" w:pos="8640"/>
          </w:tabs>
          <w:ind w:right="45"/>
          <w:rPr>
            <w:b/>
          </w:rPr>
        </w:pPr>
        <w:r w:rsidRPr="00C860BF">
          <w:rPr>
            <w:b/>
          </w:rPr>
          <w:t xml:space="preserve">Balance: Media </w:t>
        </w:r>
        <w:proofErr w:type="spellStart"/>
        <w:r w:rsidRPr="00C860BF">
          <w:rPr>
            <w:b/>
          </w:rPr>
          <w:t>Informasi</w:t>
        </w:r>
        <w:proofErr w:type="spellEnd"/>
        <w:r w:rsidRPr="00C860BF">
          <w:rPr>
            <w:b/>
          </w:rPr>
          <w:t xml:space="preserve"> </w:t>
        </w:r>
        <w:proofErr w:type="spellStart"/>
        <w:r w:rsidRPr="00C860BF">
          <w:rPr>
            <w:b/>
          </w:rPr>
          <w:t>Akuntansi</w:t>
        </w:r>
        <w:proofErr w:type="spellEnd"/>
        <w:r w:rsidRPr="00C860BF">
          <w:rPr>
            <w:b/>
          </w:rPr>
          <w:t xml:space="preserve"> dan </w:t>
        </w:r>
        <w:proofErr w:type="spellStart"/>
        <w:r w:rsidRPr="00C860BF">
          <w:rPr>
            <w:b/>
          </w:rPr>
          <w:t>Keuangan</w:t>
        </w:r>
        <w:proofErr w:type="spellEnd"/>
      </w:p>
      <w:p w14:paraId="29C220D1" w14:textId="77777777" w:rsidR="00307BF5" w:rsidRPr="00DC4CF3" w:rsidRDefault="00307BF5" w:rsidP="00307BF5">
        <w:pPr>
          <w:pStyle w:val="Header"/>
          <w:tabs>
            <w:tab w:val="clear" w:pos="4320"/>
            <w:tab w:val="clear" w:pos="8640"/>
          </w:tabs>
          <w:ind w:right="45"/>
        </w:pPr>
        <w:r w:rsidRPr="003D5B84">
          <w:t>Vol.</w:t>
        </w:r>
        <w:r>
          <w:t xml:space="preserve"> 99</w:t>
        </w:r>
        <w:r w:rsidRPr="003D5B84">
          <w:t>, No.</w:t>
        </w:r>
        <w:r>
          <w:t xml:space="preserve"> 1</w:t>
        </w:r>
        <w:r w:rsidRPr="003D5B84">
          <w:t xml:space="preserve">, </w:t>
        </w:r>
        <w:r>
          <w:t>Month</w:t>
        </w:r>
        <w:r w:rsidRPr="003D5B84">
          <w:t xml:space="preserve"> </w:t>
        </w:r>
        <w:r>
          <w:t>2099</w:t>
        </w:r>
        <w:r w:rsidRPr="003D5B84">
          <w:t xml:space="preserve">, pp. </w:t>
        </w:r>
        <w:r>
          <w:t>1-1x</w:t>
        </w:r>
      </w:p>
      <w:p w14:paraId="0F8E6846" w14:textId="11DC1500" w:rsidR="00E77E1F" w:rsidRPr="00307BF5" w:rsidRDefault="00307BF5" w:rsidP="00307BF5">
        <w:pPr>
          <w:pStyle w:val="Header"/>
          <w:tabs>
            <w:tab w:val="clear" w:pos="4320"/>
            <w:tab w:val="clear" w:pos="8640"/>
            <w:tab w:val="left" w:pos="7938"/>
            <w:tab w:val="right" w:pos="8789"/>
          </w:tabs>
          <w:rPr>
            <w:rStyle w:val="PageNumber"/>
          </w:rPr>
        </w:pPr>
        <w:bookmarkStart w:id="4" w:name="_Hlk127618094"/>
        <w:r w:rsidRPr="00DC4CF3">
          <w:t>ISS</w:t>
        </w:r>
        <w:r>
          <w:rPr>
            <w:noProof/>
          </w:rPr>
          <mc:AlternateContent>
            <mc:Choice Requires="wps">
              <w:drawing>
                <wp:anchor distT="0" distB="0" distL="114300" distR="114300" simplePos="0" relativeHeight="251673600" behindDoc="0" locked="0" layoutInCell="1" allowOverlap="1" wp14:anchorId="608D5F9B" wp14:editId="2A99B51F">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5857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t xml:space="preserve">N 2085-7349 (print) </w:t>
        </w:r>
        <w:proofErr w:type="spellStart"/>
        <w:r>
          <w:t>eISSN</w:t>
        </w:r>
        <w:proofErr w:type="spellEnd"/>
        <w:r>
          <w:t xml:space="preserve"> 2829-1581 (online)</w:t>
        </w:r>
      </w:p>
      <w:bookmarkEnd w:id="4"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478B0"/>
    <w:multiLevelType w:val="hybridMultilevel"/>
    <w:tmpl w:val="B92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F040B4"/>
    <w:multiLevelType w:val="hybridMultilevel"/>
    <w:tmpl w:val="FC1A29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0"/>
  </w:num>
  <w:num w:numId="3">
    <w:abstractNumId w:val="20"/>
  </w:num>
  <w:num w:numId="4">
    <w:abstractNumId w:val="9"/>
  </w:num>
  <w:num w:numId="5">
    <w:abstractNumId w:val="13"/>
  </w:num>
  <w:num w:numId="6">
    <w:abstractNumId w:val="17"/>
  </w:num>
  <w:num w:numId="7">
    <w:abstractNumId w:val="14"/>
  </w:num>
  <w:num w:numId="8">
    <w:abstractNumId w:val="11"/>
  </w:num>
  <w:num w:numId="9">
    <w:abstractNumId w:val="6"/>
  </w:num>
  <w:num w:numId="10">
    <w:abstractNumId w:val="1"/>
  </w:num>
  <w:num w:numId="11">
    <w:abstractNumId w:val="0"/>
  </w:num>
  <w:num w:numId="12">
    <w:abstractNumId w:val="3"/>
  </w:num>
  <w:num w:numId="13">
    <w:abstractNumId w:val="2"/>
  </w:num>
  <w:num w:numId="14">
    <w:abstractNumId w:val="4"/>
  </w:num>
  <w:num w:numId="15">
    <w:abstractNumId w:val="19"/>
  </w:num>
  <w:num w:numId="16">
    <w:abstractNumId w:val="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7"/>
  </w:num>
  <w:num w:numId="23">
    <w:abstractNumId w:val="7"/>
  </w:num>
  <w:num w:numId="24">
    <w:abstractNumId w:val="8"/>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114A"/>
    <w:rsid w:val="00012CEF"/>
    <w:rsid w:val="00014633"/>
    <w:rsid w:val="000157FD"/>
    <w:rsid w:val="00015F2A"/>
    <w:rsid w:val="00017858"/>
    <w:rsid w:val="00022D47"/>
    <w:rsid w:val="00027142"/>
    <w:rsid w:val="000279BE"/>
    <w:rsid w:val="00034C84"/>
    <w:rsid w:val="000416A3"/>
    <w:rsid w:val="000431C3"/>
    <w:rsid w:val="000437AE"/>
    <w:rsid w:val="000442C6"/>
    <w:rsid w:val="000474E3"/>
    <w:rsid w:val="00047710"/>
    <w:rsid w:val="00050148"/>
    <w:rsid w:val="00050727"/>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533B"/>
    <w:rsid w:val="00076C16"/>
    <w:rsid w:val="000776D4"/>
    <w:rsid w:val="00080CCD"/>
    <w:rsid w:val="000816FC"/>
    <w:rsid w:val="000830A2"/>
    <w:rsid w:val="00083B9D"/>
    <w:rsid w:val="00083DD6"/>
    <w:rsid w:val="00085121"/>
    <w:rsid w:val="00086551"/>
    <w:rsid w:val="000877AC"/>
    <w:rsid w:val="00087876"/>
    <w:rsid w:val="00087AF7"/>
    <w:rsid w:val="00090B78"/>
    <w:rsid w:val="00091384"/>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195A"/>
    <w:rsid w:val="000D3712"/>
    <w:rsid w:val="000D4E21"/>
    <w:rsid w:val="000D50C8"/>
    <w:rsid w:val="000D6591"/>
    <w:rsid w:val="000D67F7"/>
    <w:rsid w:val="000D6BC3"/>
    <w:rsid w:val="000E0AE1"/>
    <w:rsid w:val="000E0C84"/>
    <w:rsid w:val="000E0CE9"/>
    <w:rsid w:val="000E0E3C"/>
    <w:rsid w:val="000E1C9D"/>
    <w:rsid w:val="000E28E0"/>
    <w:rsid w:val="000E46C5"/>
    <w:rsid w:val="000E46CF"/>
    <w:rsid w:val="000E4FD6"/>
    <w:rsid w:val="000E66EF"/>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26CA"/>
    <w:rsid w:val="00133B59"/>
    <w:rsid w:val="001363DF"/>
    <w:rsid w:val="00136716"/>
    <w:rsid w:val="00137465"/>
    <w:rsid w:val="00137E25"/>
    <w:rsid w:val="00137F36"/>
    <w:rsid w:val="00140309"/>
    <w:rsid w:val="001414E2"/>
    <w:rsid w:val="001434C3"/>
    <w:rsid w:val="001441CB"/>
    <w:rsid w:val="00144CB0"/>
    <w:rsid w:val="00145332"/>
    <w:rsid w:val="00145453"/>
    <w:rsid w:val="0014611F"/>
    <w:rsid w:val="00146861"/>
    <w:rsid w:val="001517E4"/>
    <w:rsid w:val="00151E7C"/>
    <w:rsid w:val="00153387"/>
    <w:rsid w:val="00153B62"/>
    <w:rsid w:val="00153D77"/>
    <w:rsid w:val="00154C55"/>
    <w:rsid w:val="00155A32"/>
    <w:rsid w:val="00157C06"/>
    <w:rsid w:val="00161845"/>
    <w:rsid w:val="00162849"/>
    <w:rsid w:val="001634F9"/>
    <w:rsid w:val="00166432"/>
    <w:rsid w:val="001664A6"/>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464"/>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1CB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07BF5"/>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5F5"/>
    <w:rsid w:val="003B6932"/>
    <w:rsid w:val="003B79EB"/>
    <w:rsid w:val="003B7ED0"/>
    <w:rsid w:val="003C0D91"/>
    <w:rsid w:val="003C2F3D"/>
    <w:rsid w:val="003C3E42"/>
    <w:rsid w:val="003C4B05"/>
    <w:rsid w:val="003C578B"/>
    <w:rsid w:val="003C72E2"/>
    <w:rsid w:val="003D07D2"/>
    <w:rsid w:val="003D43AC"/>
    <w:rsid w:val="003D5B84"/>
    <w:rsid w:val="003D6B19"/>
    <w:rsid w:val="003D79CF"/>
    <w:rsid w:val="003E0207"/>
    <w:rsid w:val="003E0E36"/>
    <w:rsid w:val="003E304D"/>
    <w:rsid w:val="003E4A91"/>
    <w:rsid w:val="003E4AA5"/>
    <w:rsid w:val="003E4DD5"/>
    <w:rsid w:val="003F0964"/>
    <w:rsid w:val="003F18A1"/>
    <w:rsid w:val="003F1AD4"/>
    <w:rsid w:val="003F1D93"/>
    <w:rsid w:val="003F2EB6"/>
    <w:rsid w:val="003F4897"/>
    <w:rsid w:val="003F6587"/>
    <w:rsid w:val="003F6FEB"/>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6D7C"/>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4FC8"/>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9D6"/>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02"/>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934F8"/>
    <w:rsid w:val="006A0231"/>
    <w:rsid w:val="006A090C"/>
    <w:rsid w:val="006A1384"/>
    <w:rsid w:val="006A34DA"/>
    <w:rsid w:val="006A6246"/>
    <w:rsid w:val="006A6AEE"/>
    <w:rsid w:val="006B027E"/>
    <w:rsid w:val="006B0965"/>
    <w:rsid w:val="006B6754"/>
    <w:rsid w:val="006B71FD"/>
    <w:rsid w:val="006C0661"/>
    <w:rsid w:val="006C0939"/>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60E4"/>
    <w:rsid w:val="00717A32"/>
    <w:rsid w:val="00720729"/>
    <w:rsid w:val="007212E2"/>
    <w:rsid w:val="00723CEB"/>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6D5A"/>
    <w:rsid w:val="0075769A"/>
    <w:rsid w:val="0076278D"/>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2867"/>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2F01"/>
    <w:rsid w:val="007E4721"/>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801"/>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4E"/>
    <w:rsid w:val="00850CAC"/>
    <w:rsid w:val="0085238C"/>
    <w:rsid w:val="008530DA"/>
    <w:rsid w:val="0085352C"/>
    <w:rsid w:val="008538D0"/>
    <w:rsid w:val="00853BF4"/>
    <w:rsid w:val="00854ED5"/>
    <w:rsid w:val="00855965"/>
    <w:rsid w:val="00856356"/>
    <w:rsid w:val="008563F2"/>
    <w:rsid w:val="00856D75"/>
    <w:rsid w:val="00860671"/>
    <w:rsid w:val="00860F0E"/>
    <w:rsid w:val="00862CD2"/>
    <w:rsid w:val="0086508B"/>
    <w:rsid w:val="00866E4F"/>
    <w:rsid w:val="0087156B"/>
    <w:rsid w:val="008724A0"/>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5278"/>
    <w:rsid w:val="008E737C"/>
    <w:rsid w:val="008F04A3"/>
    <w:rsid w:val="008F05B8"/>
    <w:rsid w:val="008F0C9D"/>
    <w:rsid w:val="008F0D5A"/>
    <w:rsid w:val="008F1C12"/>
    <w:rsid w:val="008F5A4B"/>
    <w:rsid w:val="008F5EF9"/>
    <w:rsid w:val="008F5F6F"/>
    <w:rsid w:val="008F7188"/>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2117"/>
    <w:rsid w:val="00954DC1"/>
    <w:rsid w:val="00955462"/>
    <w:rsid w:val="00956EB6"/>
    <w:rsid w:val="00956F83"/>
    <w:rsid w:val="0095703E"/>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A3543"/>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022F"/>
    <w:rsid w:val="00A01765"/>
    <w:rsid w:val="00A02DD3"/>
    <w:rsid w:val="00A04D6C"/>
    <w:rsid w:val="00A05622"/>
    <w:rsid w:val="00A100B6"/>
    <w:rsid w:val="00A1136A"/>
    <w:rsid w:val="00A114B0"/>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3643"/>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62A0"/>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CEE"/>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227"/>
    <w:rsid w:val="00C07BEF"/>
    <w:rsid w:val="00C1015B"/>
    <w:rsid w:val="00C101D0"/>
    <w:rsid w:val="00C103A1"/>
    <w:rsid w:val="00C10A10"/>
    <w:rsid w:val="00C10D6A"/>
    <w:rsid w:val="00C10EC0"/>
    <w:rsid w:val="00C13B9C"/>
    <w:rsid w:val="00C14063"/>
    <w:rsid w:val="00C14D95"/>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061"/>
    <w:rsid w:val="00C7182A"/>
    <w:rsid w:val="00C723B3"/>
    <w:rsid w:val="00C72659"/>
    <w:rsid w:val="00C734AC"/>
    <w:rsid w:val="00C73BD7"/>
    <w:rsid w:val="00C80CAC"/>
    <w:rsid w:val="00C81C9C"/>
    <w:rsid w:val="00C8516B"/>
    <w:rsid w:val="00C854C1"/>
    <w:rsid w:val="00C85B81"/>
    <w:rsid w:val="00C860BF"/>
    <w:rsid w:val="00C87A7F"/>
    <w:rsid w:val="00C9178F"/>
    <w:rsid w:val="00C93F76"/>
    <w:rsid w:val="00C94ABF"/>
    <w:rsid w:val="00C9655A"/>
    <w:rsid w:val="00C96FCA"/>
    <w:rsid w:val="00C97507"/>
    <w:rsid w:val="00C9754D"/>
    <w:rsid w:val="00C975DF"/>
    <w:rsid w:val="00CA5D84"/>
    <w:rsid w:val="00CB0619"/>
    <w:rsid w:val="00CB58D4"/>
    <w:rsid w:val="00CC1960"/>
    <w:rsid w:val="00CC409C"/>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6"/>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21E"/>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82D"/>
    <w:rsid w:val="00E339EE"/>
    <w:rsid w:val="00E3557A"/>
    <w:rsid w:val="00E4014C"/>
    <w:rsid w:val="00E401FC"/>
    <w:rsid w:val="00E42D1B"/>
    <w:rsid w:val="00E4558E"/>
    <w:rsid w:val="00E46437"/>
    <w:rsid w:val="00E46C0B"/>
    <w:rsid w:val="00E46FAB"/>
    <w:rsid w:val="00E474DC"/>
    <w:rsid w:val="00E5155C"/>
    <w:rsid w:val="00E52FF2"/>
    <w:rsid w:val="00E5385B"/>
    <w:rsid w:val="00E53AD5"/>
    <w:rsid w:val="00E55EA9"/>
    <w:rsid w:val="00E56307"/>
    <w:rsid w:val="00E56D55"/>
    <w:rsid w:val="00E56F52"/>
    <w:rsid w:val="00E57D47"/>
    <w:rsid w:val="00E57F76"/>
    <w:rsid w:val="00E60696"/>
    <w:rsid w:val="00E607BC"/>
    <w:rsid w:val="00E6152A"/>
    <w:rsid w:val="00E619D6"/>
    <w:rsid w:val="00E62028"/>
    <w:rsid w:val="00E6312B"/>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0F80"/>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376B"/>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633E"/>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4073"/>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uiPriority w:val="99"/>
    <w:rsid w:val="00981F5C"/>
  </w:style>
  <w:style w:type="character" w:customStyle="1" w:styleId="ListParagraphChar">
    <w:name w:val="List Paragraph Char"/>
    <w:basedOn w:val="DefaultParagraphFont"/>
    <w:link w:val="ListParagraph"/>
    <w:uiPriority w:val="34"/>
    <w:rsid w:val="00A0022F"/>
    <w:rPr>
      <w:rFonts w:ascii="Calibri" w:hAnsi="Calibri"/>
      <w:sz w:val="22"/>
      <w:szCs w:val="22"/>
      <w:lang w:val="en-GB" w:eastAsia="en-GB"/>
    </w:rPr>
  </w:style>
  <w:style w:type="paragraph" w:customStyle="1" w:styleId="Heading">
    <w:name w:val="Heading"/>
    <w:basedOn w:val="Normal"/>
    <w:link w:val="HeadingChar"/>
    <w:rsid w:val="00A0022F"/>
    <w:pPr>
      <w:widowControl w:val="0"/>
      <w:snapToGrid w:val="0"/>
      <w:spacing w:line="360" w:lineRule="auto"/>
      <w:ind w:firstLineChars="200" w:firstLine="200"/>
      <w:jc w:val="both"/>
    </w:pPr>
    <w:rPr>
      <w:rFonts w:cstheme="minorBidi"/>
      <w:b/>
      <w:kern w:val="2"/>
      <w:sz w:val="24"/>
      <w:szCs w:val="22"/>
      <w:lang w:eastAsia="zh-CN"/>
    </w:rPr>
  </w:style>
  <w:style w:type="character" w:customStyle="1" w:styleId="HeadingChar">
    <w:name w:val="Heading Char"/>
    <w:basedOn w:val="DefaultParagraphFont"/>
    <w:link w:val="Heading"/>
    <w:rsid w:val="00A0022F"/>
    <w:rPr>
      <w:rFonts w:cstheme="minorBidi"/>
      <w:b/>
      <w:kern w:val="2"/>
      <w:sz w:val="24"/>
      <w:szCs w:val="22"/>
      <w:lang w:eastAsia="zh-CN"/>
    </w:rPr>
  </w:style>
  <w:style w:type="character" w:customStyle="1" w:styleId="Maintext">
    <w:name w:val="Main text"/>
    <w:basedOn w:val="DefaultParagraphFont"/>
    <w:uiPriority w:val="1"/>
    <w:rsid w:val="00A0022F"/>
    <w:rPr>
      <w:rFonts w:ascii="Times New Roman" w:hAnsi="Times New Roman"/>
      <w:spacing w:val="0"/>
      <w:w w:val="100"/>
      <w:position w:val="0"/>
      <w:sz w:val="24"/>
      <w14:numSpacing w14:val="default"/>
    </w:rPr>
  </w:style>
  <w:style w:type="character" w:customStyle="1" w:styleId="Style1">
    <w:name w:val="Style1"/>
    <w:basedOn w:val="DefaultParagraphFont"/>
    <w:uiPriority w:val="1"/>
    <w:rsid w:val="00A0022F"/>
    <w:rPr>
      <w:spacing w:val="0"/>
    </w:rPr>
  </w:style>
  <w:style w:type="character" w:customStyle="1" w:styleId="FooterChar">
    <w:name w:val="Footer Char"/>
    <w:basedOn w:val="DefaultParagraphFont"/>
    <w:link w:val="Footer"/>
    <w:uiPriority w:val="99"/>
    <w:rsid w:val="0030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64309331">
      <w:bodyDiv w:val="1"/>
      <w:marLeft w:val="0"/>
      <w:marRight w:val="0"/>
      <w:marTop w:val="0"/>
      <w:marBottom w:val="0"/>
      <w:divBdr>
        <w:top w:val="none" w:sz="0" w:space="0" w:color="auto"/>
        <w:left w:val="none" w:sz="0" w:space="0" w:color="auto"/>
        <w:bottom w:val="none" w:sz="0" w:space="0" w:color="auto"/>
        <w:right w:val="none" w:sz="0" w:space="0" w:color="auto"/>
      </w:divBdr>
    </w:div>
    <w:div w:id="1210146447">
      <w:bodyDiv w:val="1"/>
      <w:marLeft w:val="0"/>
      <w:marRight w:val="0"/>
      <w:marTop w:val="0"/>
      <w:marBottom w:val="0"/>
      <w:divBdr>
        <w:top w:val="none" w:sz="0" w:space="0" w:color="auto"/>
        <w:left w:val="none" w:sz="0" w:space="0" w:color="auto"/>
        <w:bottom w:val="none" w:sz="0" w:space="0" w:color="auto"/>
        <w:right w:val="none" w:sz="0" w:space="0" w:color="auto"/>
      </w:divBdr>
    </w:div>
    <w:div w:id="1281960589">
      <w:bodyDiv w:val="1"/>
      <w:marLeft w:val="0"/>
      <w:marRight w:val="0"/>
      <w:marTop w:val="0"/>
      <w:marBottom w:val="0"/>
      <w:divBdr>
        <w:top w:val="none" w:sz="0" w:space="0" w:color="auto"/>
        <w:left w:val="none" w:sz="0" w:space="0" w:color="auto"/>
        <w:bottom w:val="none" w:sz="0" w:space="0" w:color="auto"/>
        <w:right w:val="none" w:sz="0" w:space="0" w:color="auto"/>
      </w:divBdr>
    </w:div>
    <w:div w:id="138884350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8253903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oks.google.com/book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pal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cpalm.com/news/2011/jan/05/private-investigator-allegations-about-mayor-fai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ate.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H:\Publikasi\JEB\graphic%20reform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0"/>
          <c:w val="0.93888888888888888"/>
          <c:h val="0.88070043986281721"/>
        </c:manualLayout>
      </c:layout>
      <c:lineChart>
        <c:grouping val="standard"/>
        <c:varyColors val="0"/>
        <c:ser>
          <c:idx val="1"/>
          <c:order val="0"/>
          <c:tx>
            <c:strRef>
              <c:f>Sheet1!$B$1</c:f>
              <c:strCache>
                <c:ptCount val="1"/>
                <c:pt idx="0">
                  <c:v>Earning</c:v>
                </c:pt>
              </c:strCache>
            </c:strRef>
          </c:tx>
          <c:spPr>
            <a:ln>
              <a:solidFill>
                <a:schemeClr val="tx1">
                  <a:lumMod val="85000"/>
                  <a:lumOff val="15000"/>
                </a:schemeClr>
              </a:solidFill>
            </a:ln>
          </c:spPr>
          <c:marker>
            <c:spPr>
              <a:solidFill>
                <a:schemeClr val="tx1">
                  <a:lumMod val="85000"/>
                  <a:lumOff val="15000"/>
                </a:schemeClr>
              </a:solidFill>
            </c:spPr>
          </c:marker>
          <c:dLbls>
            <c:dLbl>
              <c:idx val="0"/>
              <c:layout>
                <c:manualLayout>
                  <c:x val="-0.05"/>
                  <c:y val="3.065133359849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B1-43E2-B141-8A8D4653C1B0}"/>
                </c:ext>
              </c:extLst>
            </c:dLbl>
            <c:dLbl>
              <c:idx val="1"/>
              <c:layout>
                <c:manualLayout>
                  <c:x val="-4.1666666666666664E-2"/>
                  <c:y val="3.3716466958345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B1-43E2-B141-8A8D4653C1B0}"/>
                </c:ext>
              </c:extLst>
            </c:dLbl>
            <c:dLbl>
              <c:idx val="2"/>
              <c:layout>
                <c:manualLayout>
                  <c:x val="-4.4444444444444446E-2"/>
                  <c:y val="3.3716466958345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B1-43E2-B141-8A8D4653C1B0}"/>
                </c:ext>
              </c:extLst>
            </c:dLbl>
            <c:dLbl>
              <c:idx val="3"/>
              <c:layout>
                <c:manualLayout>
                  <c:x val="-4.1666666666666664E-2"/>
                  <c:y val="-3.678160031819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B1-43E2-B141-8A8D4653C1B0}"/>
                </c:ext>
              </c:extLst>
            </c:dLbl>
            <c:dLbl>
              <c:idx val="4"/>
              <c:layout>
                <c:manualLayout>
                  <c:x val="-4.1666666666666664E-2"/>
                  <c:y val="-3.678160031819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B1-43E2-B141-8A8D4653C1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Sheet1!$B$2:$B$8</c:f>
              <c:numCache>
                <c:formatCode>0%</c:formatCode>
                <c:ptCount val="7"/>
                <c:pt idx="0">
                  <c:v>0.37</c:v>
                </c:pt>
                <c:pt idx="1">
                  <c:v>0.54</c:v>
                </c:pt>
                <c:pt idx="2">
                  <c:v>0.6</c:v>
                </c:pt>
                <c:pt idx="3">
                  <c:v>0.56000000000000005</c:v>
                </c:pt>
                <c:pt idx="4">
                  <c:v>0.61</c:v>
                </c:pt>
                <c:pt idx="5">
                  <c:v>0.73</c:v>
                </c:pt>
                <c:pt idx="6">
                  <c:v>0.88</c:v>
                </c:pt>
              </c:numCache>
            </c:numRef>
          </c:val>
          <c:smooth val="0"/>
          <c:extLst>
            <c:ext xmlns:c16="http://schemas.microsoft.com/office/drawing/2014/chart" uri="{C3380CC4-5D6E-409C-BE32-E72D297353CC}">
              <c16:uniqueId val="{00000005-FFB1-43E2-B141-8A8D4653C1B0}"/>
            </c:ext>
          </c:extLst>
        </c:ser>
        <c:ser>
          <c:idx val="2"/>
          <c:order val="1"/>
          <c:tx>
            <c:strRef>
              <c:f>Sheet1!$C$1</c:f>
              <c:strCache>
                <c:ptCount val="1"/>
                <c:pt idx="0">
                  <c:v>Equity Book Value</c:v>
                </c:pt>
              </c:strCache>
            </c:strRef>
          </c:tx>
          <c:spPr>
            <a:ln>
              <a:solidFill>
                <a:schemeClr val="tx1">
                  <a:lumMod val="85000"/>
                  <a:lumOff val="15000"/>
                </a:schemeClr>
              </a:solidFill>
            </a:ln>
          </c:spPr>
          <c:marker>
            <c:spPr>
              <a:solidFill>
                <a:schemeClr val="tx1">
                  <a:lumMod val="85000"/>
                  <a:lumOff val="15000"/>
                </a:schemeClr>
              </a:solidFill>
            </c:spPr>
          </c:marker>
          <c:dLbls>
            <c:dLbl>
              <c:idx val="0"/>
              <c:layout>
                <c:manualLayout>
                  <c:x val="-7.4999999999999997E-2"/>
                  <c:y val="-2.1456416217113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B1-43E2-B141-8A8D4653C1B0}"/>
                </c:ext>
              </c:extLst>
            </c:dLbl>
            <c:dLbl>
              <c:idx val="1"/>
              <c:layout>
                <c:manualLayout>
                  <c:x val="-5.5555555555555552E-2"/>
                  <c:y val="-3.678160031819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B1-43E2-B141-8A8D4653C1B0}"/>
                </c:ext>
              </c:extLst>
            </c:dLbl>
            <c:dLbl>
              <c:idx val="2"/>
              <c:layout>
                <c:manualLayout>
                  <c:x val="-3.0555555555555555E-2"/>
                  <c:y val="-3.678160031819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B1-43E2-B141-8A8D4653C1B0}"/>
                </c:ext>
              </c:extLst>
            </c:dLbl>
            <c:dLbl>
              <c:idx val="3"/>
              <c:layout>
                <c:manualLayout>
                  <c:x val="-4.7222222222222221E-2"/>
                  <c:y val="2.452106687879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B1-43E2-B141-8A8D4653C1B0}"/>
                </c:ext>
              </c:extLst>
            </c:dLbl>
            <c:dLbl>
              <c:idx val="4"/>
              <c:layout>
                <c:manualLayout>
                  <c:x val="-4.4444444444444446E-2"/>
                  <c:y val="3.065133359849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B1-43E2-B141-8A8D4653C1B0}"/>
                </c:ext>
              </c:extLst>
            </c:dLbl>
            <c:dLbl>
              <c:idx val="5"/>
              <c:layout>
                <c:manualLayout>
                  <c:x val="-4.4444444444444446E-2"/>
                  <c:y val="2.7586200238645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B1-43E2-B141-8A8D4653C1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Sheet1!$C$2:$C$8</c:f>
              <c:numCache>
                <c:formatCode>0%</c:formatCode>
                <c:ptCount val="7"/>
                <c:pt idx="0">
                  <c:v>0.49</c:v>
                </c:pt>
                <c:pt idx="1">
                  <c:v>0.56999999999999995</c:v>
                </c:pt>
                <c:pt idx="2">
                  <c:v>0.63</c:v>
                </c:pt>
                <c:pt idx="3">
                  <c:v>0.51</c:v>
                </c:pt>
                <c:pt idx="4">
                  <c:v>0.55000000000000004</c:v>
                </c:pt>
                <c:pt idx="5">
                  <c:v>0.65</c:v>
                </c:pt>
                <c:pt idx="6">
                  <c:v>0.56999999999999995</c:v>
                </c:pt>
              </c:numCache>
            </c:numRef>
          </c:val>
          <c:smooth val="0"/>
          <c:extLst>
            <c:ext xmlns:c16="http://schemas.microsoft.com/office/drawing/2014/chart" uri="{C3380CC4-5D6E-409C-BE32-E72D297353CC}">
              <c16:uniqueId val="{0000000C-FFB1-43E2-B141-8A8D4653C1B0}"/>
            </c:ext>
          </c:extLst>
        </c:ser>
        <c:ser>
          <c:idx val="3"/>
          <c:order val="2"/>
          <c:tx>
            <c:strRef>
              <c:f>Sheet1!$D$1</c:f>
              <c:strCache>
                <c:ptCount val="1"/>
                <c:pt idx="0">
                  <c:v>Operating Cashflow</c:v>
                </c:pt>
              </c:strCache>
            </c:strRef>
          </c:tx>
          <c:spPr>
            <a:ln>
              <a:solidFill>
                <a:schemeClr val="tx1">
                  <a:lumMod val="85000"/>
                  <a:lumOff val="15000"/>
                </a:schemeClr>
              </a:solidFill>
            </a:ln>
          </c:spPr>
          <c:marker>
            <c:symbol val="diamond"/>
            <c:size val="7"/>
            <c:spPr>
              <a:solidFill>
                <a:schemeClr val="tx1">
                  <a:lumMod val="85000"/>
                  <a:lumOff val="15000"/>
                </a:schemeClr>
              </a:solidFill>
            </c:spPr>
          </c:marker>
          <c:dLbls>
            <c:dLbl>
              <c:idx val="0"/>
              <c:layout>
                <c:manualLayout>
                  <c:x val="-5.8333333333333334E-2"/>
                  <c:y val="-3.6781600318194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B1-43E2-B141-8A8D4653C1B0}"/>
                </c:ext>
              </c:extLst>
            </c:dLbl>
            <c:dLbl>
              <c:idx val="1"/>
              <c:layout>
                <c:manualLayout>
                  <c:x val="-5.8333333333333334E-2"/>
                  <c:y val="2.7586200238645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B1-43E2-B141-8A8D4653C1B0}"/>
                </c:ext>
              </c:extLst>
            </c:dLbl>
            <c:dLbl>
              <c:idx val="2"/>
              <c:layout>
                <c:manualLayout>
                  <c:x val="-4.1666666666666664E-2"/>
                  <c:y val="2.7586200238645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B1-43E2-B141-8A8D4653C1B0}"/>
                </c:ext>
              </c:extLst>
            </c:dLbl>
            <c:dLbl>
              <c:idx val="3"/>
              <c:layout>
                <c:manualLayout>
                  <c:x val="-4.1666666666666664E-2"/>
                  <c:y val="2.452106687879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B1-43E2-B141-8A8D4653C1B0}"/>
                </c:ext>
              </c:extLst>
            </c:dLbl>
            <c:dLbl>
              <c:idx val="4"/>
              <c:layout>
                <c:manualLayout>
                  <c:x val="-4.1666666666666664E-2"/>
                  <c:y val="2.7586200238645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FB1-43E2-B141-8A8D4653C1B0}"/>
                </c:ext>
              </c:extLst>
            </c:dLbl>
            <c:dLbl>
              <c:idx val="5"/>
              <c:layout>
                <c:manualLayout>
                  <c:x val="-1.9444444444444445E-2"/>
                  <c:y val="3.065133359849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B1-43E2-B141-8A8D4653C1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Sheet1!$D$2:$D$8</c:f>
              <c:numCache>
                <c:formatCode>0%</c:formatCode>
                <c:ptCount val="7"/>
                <c:pt idx="0">
                  <c:v>0.62</c:v>
                </c:pt>
                <c:pt idx="1">
                  <c:v>0.25</c:v>
                </c:pt>
                <c:pt idx="2">
                  <c:v>0.24</c:v>
                </c:pt>
                <c:pt idx="3">
                  <c:v>0.31</c:v>
                </c:pt>
                <c:pt idx="4">
                  <c:v>0.27</c:v>
                </c:pt>
                <c:pt idx="5">
                  <c:v>0.44</c:v>
                </c:pt>
                <c:pt idx="6">
                  <c:v>0.56999999999999995</c:v>
                </c:pt>
              </c:numCache>
            </c:numRef>
          </c:val>
          <c:smooth val="0"/>
          <c:extLst>
            <c:ext xmlns:c16="http://schemas.microsoft.com/office/drawing/2014/chart" uri="{C3380CC4-5D6E-409C-BE32-E72D297353CC}">
              <c16:uniqueId val="{00000013-FFB1-43E2-B141-8A8D4653C1B0}"/>
            </c:ext>
          </c:extLst>
        </c:ser>
        <c:dLbls>
          <c:showLegendKey val="0"/>
          <c:showVal val="1"/>
          <c:showCatName val="0"/>
          <c:showSerName val="0"/>
          <c:showPercent val="0"/>
          <c:showBubbleSize val="0"/>
        </c:dLbls>
        <c:marker val="1"/>
        <c:smooth val="0"/>
        <c:axId val="72543232"/>
        <c:axId val="72561408"/>
      </c:lineChart>
      <c:catAx>
        <c:axId val="72543232"/>
        <c:scaling>
          <c:orientation val="minMax"/>
        </c:scaling>
        <c:delete val="0"/>
        <c:axPos val="b"/>
        <c:numFmt formatCode="General" sourceLinked="1"/>
        <c:majorTickMark val="none"/>
        <c:minorTickMark val="none"/>
        <c:tickLblPos val="nextTo"/>
        <c:crossAx val="72561408"/>
        <c:crosses val="autoZero"/>
        <c:auto val="1"/>
        <c:lblAlgn val="ctr"/>
        <c:lblOffset val="100"/>
        <c:noMultiLvlLbl val="0"/>
      </c:catAx>
      <c:valAx>
        <c:axId val="72561408"/>
        <c:scaling>
          <c:orientation val="minMax"/>
        </c:scaling>
        <c:delete val="1"/>
        <c:axPos val="l"/>
        <c:numFmt formatCode="0%" sourceLinked="1"/>
        <c:majorTickMark val="out"/>
        <c:minorTickMark val="none"/>
        <c:tickLblPos val="nextTo"/>
        <c:crossAx val="72543232"/>
        <c:crosses val="autoZero"/>
        <c:crossBetween val="between"/>
      </c:valAx>
    </c:plotArea>
    <c:legend>
      <c:legendPos val="b"/>
      <c:overlay val="0"/>
    </c:legend>
    <c:plotVisOnly val="1"/>
    <c:dispBlanksAs val="gap"/>
    <c:showDLblsOverMax val="0"/>
  </c:chart>
  <c:txPr>
    <a:bodyPr/>
    <a:lstStyle/>
    <a:p>
      <a:pPr>
        <a:defRPr sz="50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881D759DB4A3C92CD54CC72B31CAA"/>
        <w:category>
          <w:name w:val="General"/>
          <w:gallery w:val="placeholder"/>
        </w:category>
        <w:types>
          <w:type w:val="bbPlcHdr"/>
        </w:types>
        <w:behaviors>
          <w:behavior w:val="content"/>
        </w:behaviors>
        <w:guid w:val="{F5B2284E-0CA0-4C9C-848B-7DAD7B395E97}"/>
      </w:docPartPr>
      <w:docPartBody>
        <w:p w:rsidR="00000000" w:rsidRDefault="00B60537" w:rsidP="00B60537">
          <w:pPr>
            <w:pStyle w:val="2E9881D759DB4A3C92CD54CC72B31CAA"/>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37"/>
    <w:rsid w:val="00B60537"/>
    <w:rsid w:val="00BE71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37"/>
    <w:rPr>
      <w:color w:val="808080"/>
    </w:rPr>
  </w:style>
  <w:style w:type="paragraph" w:customStyle="1" w:styleId="21603EA8BE4A4FF2BFE0943318B765FB">
    <w:name w:val="21603EA8BE4A4FF2BFE0943318B765FB"/>
    <w:rsid w:val="00B60537"/>
  </w:style>
  <w:style w:type="paragraph" w:customStyle="1" w:styleId="2E9881D759DB4A3C92CD54CC72B31CAA">
    <w:name w:val="2E9881D759DB4A3C92CD54CC72B31CAA"/>
    <w:rsid w:val="00B60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10C-63CF-401C-BBA0-41E9086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Indonesian Journal of Electrical Engineering and Computer Science</vt:lpstr>
    </vt:vector>
  </TitlesOfParts>
  <Company>IAES | Institute of Advanced Engineering and Science</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Journal of Electrical Engineering and Computer Science</dc:title>
  <dc:creator>IJEECS</dc:creator>
  <cp:keywords>applied computing &amp; computer; electrical (power); electronics engineering; instrumentation &amp; control; telecommunication &amp; information technology;</cp:keywords>
  <dc:description>IJEECS Template and Guide of Authors</dc:description>
  <cp:lastModifiedBy>Jonathan Giovanni</cp:lastModifiedBy>
  <cp:revision>2</cp:revision>
  <cp:lastPrinted>2021-08-30T09:30:00Z</cp:lastPrinted>
  <dcterms:created xsi:type="dcterms:W3CDTF">2023-02-18T06:17:00Z</dcterms:created>
  <dcterms:modified xsi:type="dcterms:W3CDTF">2023-02-18T06:17:00Z</dcterms:modified>
  <cp:category/>
</cp:coreProperties>
</file>